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657790" w14:textId="77777777" w:rsidR="0093587E" w:rsidRPr="0093587E" w:rsidRDefault="0093587E" w:rsidP="0093587E">
      <w:pPr>
        <w:jc w:val="center"/>
        <w:rPr>
          <w:b/>
          <w:bCs/>
        </w:rPr>
      </w:pPr>
      <w:r w:rsidRPr="0093587E">
        <w:rPr>
          <w:b/>
          <w:bCs/>
        </w:rPr>
        <w:t>MD OSW Regulations - Proposed Questions</w:t>
      </w:r>
      <w:r w:rsidR="00503C2C">
        <w:rPr>
          <w:b/>
          <w:bCs/>
        </w:rPr>
        <w:t xml:space="preserve"> for </w:t>
      </w:r>
      <w:r w:rsidR="00E809E4">
        <w:rPr>
          <w:b/>
          <w:bCs/>
        </w:rPr>
        <w:t xml:space="preserve">OSW </w:t>
      </w:r>
      <w:r w:rsidR="00503C2C">
        <w:rPr>
          <w:b/>
          <w:bCs/>
        </w:rPr>
        <w:t>Stakeholders</w:t>
      </w:r>
    </w:p>
    <w:p w14:paraId="11A89D9E" w14:textId="77777777" w:rsidR="000C1709" w:rsidRDefault="000C1709" w:rsidP="0093587E">
      <w:pPr>
        <w:rPr>
          <w:u w:val="single"/>
        </w:rPr>
      </w:pPr>
    </w:p>
    <w:p w14:paraId="0CB362C2" w14:textId="0DD6F9B7" w:rsidR="000C1709" w:rsidRDefault="000C1709" w:rsidP="0093587E">
      <w:r>
        <w:t xml:space="preserve">As the State of Maryland Public Service Commission (“PSC”) plans for </w:t>
      </w:r>
      <w:r w:rsidR="0066690E">
        <w:t>R</w:t>
      </w:r>
      <w:r>
        <w:t>ound 2 of its offshore wind</w:t>
      </w:r>
      <w:r w:rsidR="00686789">
        <w:t xml:space="preserve"> (“OSW”)</w:t>
      </w:r>
      <w:r>
        <w:t xml:space="preserve"> procurement program, </w:t>
      </w:r>
      <w:r w:rsidR="00686789">
        <w:t xml:space="preserve">ensuring consistency with the 2019 Clean Energy Jobs Act (“CEJA”) </w:t>
      </w:r>
      <w:r w:rsidR="005B6718">
        <w:t xml:space="preserve">and other applicable laws, the Staff of the Commission (“Staff”) </w:t>
      </w:r>
      <w:r w:rsidR="00686789">
        <w:t>seeks informal stakeholder and general pubic feedback regarding its program.</w:t>
      </w:r>
      <w:r w:rsidR="004372CD">
        <w:t xml:space="preserve">  Certain of these questions are directed at </w:t>
      </w:r>
      <w:r w:rsidR="002C11FA">
        <w:t xml:space="preserve">OSW </w:t>
      </w:r>
      <w:r w:rsidR="004372CD">
        <w:t>market participants, and others to broader audiences.</w:t>
      </w:r>
      <w:r w:rsidR="00686789">
        <w:t xml:space="preserve"> Responses to the questions posed in this document will be considered by </w:t>
      </w:r>
      <w:r w:rsidR="005B6718">
        <w:t>S</w:t>
      </w:r>
      <w:r w:rsidR="004372CD">
        <w:t>taff and their consultants,</w:t>
      </w:r>
      <w:r w:rsidR="00686789">
        <w:t xml:space="preserve"> and will inform the drafting of updates </w:t>
      </w:r>
      <w:r w:rsidR="004372CD">
        <w:t>to the relevant Code of Maryland Regulations provisions, which will be noticed for formal public comment</w:t>
      </w:r>
      <w:r w:rsidR="00686789">
        <w:t>.</w:t>
      </w:r>
    </w:p>
    <w:p w14:paraId="58E07455" w14:textId="77777777" w:rsidR="00686789" w:rsidRDefault="004112E0" w:rsidP="0093587E">
      <w:r>
        <w:t>S</w:t>
      </w:r>
      <w:r w:rsidR="00686789">
        <w:t>taff thanks all respondents for their participation in this process.</w:t>
      </w:r>
    </w:p>
    <w:p w14:paraId="35DBC223" w14:textId="77777777" w:rsidR="007B597C" w:rsidRDefault="007B597C" w:rsidP="0093587E"/>
    <w:p w14:paraId="4AB389B6" w14:textId="77777777" w:rsidR="0093587E" w:rsidRPr="000B3905" w:rsidRDefault="008C1DF0" w:rsidP="0093587E">
      <w:pPr>
        <w:rPr>
          <w:u w:val="single"/>
        </w:rPr>
      </w:pPr>
      <w:r>
        <w:t>1.</w:t>
      </w:r>
      <w:r>
        <w:tab/>
      </w:r>
      <w:r w:rsidR="000C1709">
        <w:rPr>
          <w:u w:val="single"/>
        </w:rPr>
        <w:t xml:space="preserve">Prior </w:t>
      </w:r>
      <w:r w:rsidR="0093587E" w:rsidRPr="000B3905">
        <w:rPr>
          <w:u w:val="single"/>
        </w:rPr>
        <w:t xml:space="preserve">OSW </w:t>
      </w:r>
      <w:r w:rsidR="00A4315D">
        <w:rPr>
          <w:u w:val="single"/>
        </w:rPr>
        <w:t>P</w:t>
      </w:r>
      <w:r w:rsidR="0093587E" w:rsidRPr="000B3905">
        <w:rPr>
          <w:u w:val="single"/>
        </w:rPr>
        <w:t xml:space="preserve">rocurement </w:t>
      </w:r>
      <w:r w:rsidR="00A4315D">
        <w:rPr>
          <w:u w:val="single"/>
        </w:rPr>
        <w:t>P</w:t>
      </w:r>
      <w:r w:rsidR="0093587E" w:rsidRPr="000B3905">
        <w:rPr>
          <w:u w:val="single"/>
        </w:rPr>
        <w:t xml:space="preserve">rocess </w:t>
      </w:r>
    </w:p>
    <w:p w14:paraId="64B6F284" w14:textId="77777777" w:rsidR="00757FD4" w:rsidRDefault="00757FD4" w:rsidP="00757FD4">
      <w:r>
        <w:t>The Maryland General Assembly passed the Offshore Wind Energy Act of 2013</w:t>
      </w:r>
      <w:r w:rsidR="000C1709">
        <w:t xml:space="preserve">, which </w:t>
      </w:r>
      <w:r>
        <w:t>was signed into law on April 9, 2013. T</w:t>
      </w:r>
      <w:r w:rsidR="003950A8">
        <w:t xml:space="preserve">he PSC </w:t>
      </w:r>
      <w:r>
        <w:t xml:space="preserve">established OSW procurement regulations under Rulemaking 51 to implement that Act </w:t>
      </w:r>
      <w:r w:rsidR="00EE6734">
        <w:t xml:space="preserve">the following year. The first OSW application was submitted on January 28, 2016, </w:t>
      </w:r>
      <w:r w:rsidR="0066690E">
        <w:t xml:space="preserve">was </w:t>
      </w:r>
      <w:r w:rsidR="00EE6734">
        <w:t>determined to be “administratively complete”, and the 180-day Application Period commenced on February 25, 2016. A second application was submitted on August 23, 2016</w:t>
      </w:r>
      <w:r w:rsidR="00D75F32">
        <w:t xml:space="preserve">, requiring the Application Period to be extended </w:t>
      </w:r>
      <w:r w:rsidR="00642380">
        <w:t>to make an administrative completion determination</w:t>
      </w:r>
      <w:r w:rsidR="003260DE">
        <w:t xml:space="preserve"> and complete the evaluations</w:t>
      </w:r>
      <w:r w:rsidR="00D75F32">
        <w:t>.</w:t>
      </w:r>
      <w:r w:rsidR="00EE6734">
        <w:t xml:space="preserve">  </w:t>
      </w:r>
    </w:p>
    <w:p w14:paraId="5982A544" w14:textId="653D77FB" w:rsidR="007C1C16" w:rsidRDefault="003950A8" w:rsidP="003950A8">
      <w:r>
        <w:t xml:space="preserve">Once the applications were accepted as administratively complete, </w:t>
      </w:r>
      <w:r w:rsidR="00D75F32">
        <w:t xml:space="preserve">they were </w:t>
      </w:r>
      <w:r>
        <w:t xml:space="preserve">checked </w:t>
      </w:r>
      <w:r w:rsidR="00D75F32">
        <w:t xml:space="preserve">to ensure </w:t>
      </w:r>
      <w:r>
        <w:t xml:space="preserve">minimum threshold criteria were satisfied per </w:t>
      </w:r>
      <w:r w:rsidR="00E809E4">
        <w:t xml:space="preserve">Code of Maryland Regulations (“COMAR”) </w:t>
      </w:r>
      <w:r w:rsidR="000C1709">
        <w:t xml:space="preserve">20.61.06.03.A – that is, </w:t>
      </w:r>
      <w:r>
        <w:t xml:space="preserve">(i) </w:t>
      </w:r>
      <w:r w:rsidR="00D75F32">
        <w:t xml:space="preserve">the projects </w:t>
      </w:r>
      <w:r w:rsidR="000C1709">
        <w:t>satisfied</w:t>
      </w:r>
      <w:r>
        <w:t xml:space="preserve"> the “Qualified Offshore</w:t>
      </w:r>
      <w:r w:rsidR="000C1709">
        <w:t xml:space="preserve"> Wind Project” definition;</w:t>
      </w:r>
      <w:r>
        <w:t xml:space="preserve"> (ii) the OREC price schedule term </w:t>
      </w:r>
      <w:r w:rsidR="000C1709">
        <w:t xml:space="preserve">did </w:t>
      </w:r>
      <w:r>
        <w:t>n</w:t>
      </w:r>
      <w:r w:rsidR="000C1709">
        <w:t>ot exceed 20 years and commenced</w:t>
      </w:r>
      <w:r>
        <w:t xml:space="preserve"> no earlier than January 1,</w:t>
      </w:r>
      <w:r w:rsidR="000C1709">
        <w:t xml:space="preserve"> 2017;</w:t>
      </w:r>
      <w:r>
        <w:t xml:space="preserve"> (iii) the proposed OREC price schedule </w:t>
      </w:r>
      <w:r w:rsidR="000C1709">
        <w:t xml:space="preserve">did </w:t>
      </w:r>
      <w:r>
        <w:t>not ex</w:t>
      </w:r>
      <w:r w:rsidR="000C1709">
        <w:t>ceed $190/MWh (levelized 2012$);</w:t>
      </w:r>
      <w:r>
        <w:t xml:space="preserve"> (iv) the</w:t>
      </w:r>
      <w:r w:rsidR="00D75F32">
        <w:t>y</w:t>
      </w:r>
      <w:r>
        <w:t xml:space="preserve"> </w:t>
      </w:r>
      <w:r w:rsidR="000C1709">
        <w:t xml:space="preserve">would </w:t>
      </w:r>
      <w:r>
        <w:t xml:space="preserve">be constructed using commercially </w:t>
      </w:r>
      <w:r w:rsidR="000C1709">
        <w:t>proven components and equipment;</w:t>
      </w:r>
      <w:r>
        <w:t xml:space="preserve"> (v) the project </w:t>
      </w:r>
      <w:r w:rsidR="002C11FA">
        <w:t>expected commercial operating date (“</w:t>
      </w:r>
      <w:r>
        <w:t>COD</w:t>
      </w:r>
      <w:r w:rsidR="002C11FA">
        <w:t>”)</w:t>
      </w:r>
      <w:r>
        <w:t xml:space="preserve"> </w:t>
      </w:r>
      <w:r w:rsidR="000C1709">
        <w:t>was reasonable;</w:t>
      </w:r>
      <w:r>
        <w:t xml:space="preserve"> and</w:t>
      </w:r>
      <w:r w:rsidR="000C1709">
        <w:t>,</w:t>
      </w:r>
      <w:r>
        <w:t xml:space="preserve"> (vi) the applicant</w:t>
      </w:r>
      <w:r w:rsidR="00D75F32">
        <w:t>s</w:t>
      </w:r>
      <w:r>
        <w:t xml:space="preserve"> maintain</w:t>
      </w:r>
      <w:r w:rsidR="000C1709">
        <w:t>ed site control or presented</w:t>
      </w:r>
      <w:r>
        <w:t xml:space="preserve"> a feasible plan to obtain site control.  Next, the price and non-price portions of the applications were evaluated and a report was provided to the PSC; a redacted version was released to the public. </w:t>
      </w:r>
    </w:p>
    <w:p w14:paraId="040B1073" w14:textId="77777777" w:rsidR="003950A8" w:rsidRDefault="00EE6734" w:rsidP="003950A8">
      <w:r>
        <w:t xml:space="preserve">The PSC conducted a pre-hearing conference </w:t>
      </w:r>
      <w:r w:rsidR="007C1C16">
        <w:t xml:space="preserve">in Case No. 9431 </w:t>
      </w:r>
      <w:r>
        <w:t xml:space="preserve">on December 14, 2016, accepted direct and supplemental direct testimony from the applicants by January 4, 2017 and from interested parties </w:t>
      </w:r>
      <w:r w:rsidR="007C1C16">
        <w:t xml:space="preserve">by February 15, </w:t>
      </w:r>
      <w:r>
        <w:t xml:space="preserve">held a status conference on March 9, </w:t>
      </w:r>
      <w:r w:rsidR="007C1C16">
        <w:t>held hearings March 13-28</w:t>
      </w:r>
      <w:r w:rsidR="00D75F32">
        <w:t xml:space="preserve"> plus </w:t>
      </w:r>
      <w:r w:rsidR="007C1C16">
        <w:t xml:space="preserve">two public hearings in Berlin and Annapolis, </w:t>
      </w:r>
      <w:r>
        <w:t xml:space="preserve">and accepted written briefs </w:t>
      </w:r>
      <w:r w:rsidR="007C1C16">
        <w:t>by April 13.  Order No 88192 was issued on May 11, 2017</w:t>
      </w:r>
      <w:r w:rsidR="00D75F32">
        <w:t xml:space="preserve"> that </w:t>
      </w:r>
      <w:r w:rsidR="007C1C16">
        <w:t>select</w:t>
      </w:r>
      <w:r w:rsidR="00D75F32">
        <w:t>ed</w:t>
      </w:r>
      <w:r w:rsidR="007C1C16">
        <w:t xml:space="preserve"> the US Wind and Deepwater Skipjack OSW projects </w:t>
      </w:r>
      <w:r w:rsidR="00D75F32">
        <w:t xml:space="preserve">and specified </w:t>
      </w:r>
      <w:r w:rsidR="007C1C16">
        <w:t>OREC prices and conditions for approval.</w:t>
      </w:r>
      <w:r>
        <w:t xml:space="preserve"> </w:t>
      </w:r>
    </w:p>
    <w:p w14:paraId="3782D116" w14:textId="77777777" w:rsidR="00A6098B" w:rsidRDefault="008C1DF0" w:rsidP="00596EB0">
      <w:pPr>
        <w:pStyle w:val="ListParagraph"/>
        <w:numPr>
          <w:ilvl w:val="0"/>
          <w:numId w:val="14"/>
        </w:numPr>
      </w:pPr>
      <w:r>
        <w:t xml:space="preserve">How might </w:t>
      </w:r>
      <w:r w:rsidR="00A361A3">
        <w:t xml:space="preserve">the </w:t>
      </w:r>
      <w:r w:rsidR="00C64F89">
        <w:t>multi-step process (determination of administrative completeness, satisfaction of minimum threshold</w:t>
      </w:r>
      <w:r w:rsidR="00A361A3">
        <w:t xml:space="preserve"> criteria</w:t>
      </w:r>
      <w:r w:rsidR="00C64F89">
        <w:t xml:space="preserve">, quantitative and qualitative evaluation, PSC hearings) </w:t>
      </w:r>
      <w:r>
        <w:t>be improved within the requirement of the CEJA and other applicable law</w:t>
      </w:r>
      <w:r w:rsidR="00C64F89">
        <w:t>?</w:t>
      </w:r>
    </w:p>
    <w:p w14:paraId="309C1382" w14:textId="77777777" w:rsidR="00B82075" w:rsidRDefault="00B82075" w:rsidP="00596EB0">
      <w:pPr>
        <w:pStyle w:val="ListParagraph"/>
        <w:numPr>
          <w:ilvl w:val="0"/>
          <w:numId w:val="14"/>
        </w:numPr>
      </w:pPr>
      <w:r>
        <w:lastRenderedPageBreak/>
        <w:t>Were any of the minimum threshold criteria per COMAR 20.61.06.03</w:t>
      </w:r>
      <w:r w:rsidR="00642380">
        <w:t>.</w:t>
      </w:r>
      <w:r>
        <w:t xml:space="preserve">A </w:t>
      </w:r>
      <w:r w:rsidR="008C1DF0">
        <w:t>structured in a way that impacted bidding or price</w:t>
      </w:r>
      <w:r>
        <w:t>?</w:t>
      </w:r>
    </w:p>
    <w:p w14:paraId="6EA525E2" w14:textId="77777777" w:rsidR="00E82225" w:rsidRDefault="00E82225" w:rsidP="00596EB0">
      <w:pPr>
        <w:pStyle w:val="ListParagraph"/>
        <w:numPr>
          <w:ilvl w:val="0"/>
          <w:numId w:val="14"/>
        </w:numPr>
      </w:pPr>
      <w:r>
        <w:t>What could have been done differently to improve the overall process?</w:t>
      </w:r>
    </w:p>
    <w:p w14:paraId="50AB5021" w14:textId="77777777" w:rsidR="008668C9" w:rsidRDefault="008668C9" w:rsidP="00596EB0">
      <w:pPr>
        <w:pStyle w:val="ListParagraph"/>
        <w:numPr>
          <w:ilvl w:val="0"/>
          <w:numId w:val="14"/>
        </w:numPr>
      </w:pPr>
      <w:r>
        <w:t>Other east coast states have recently completed OSW procurements</w:t>
      </w:r>
      <w:r w:rsidR="0066690E">
        <w:t>?</w:t>
      </w:r>
      <w:r>
        <w:t xml:space="preserve">  </w:t>
      </w:r>
    </w:p>
    <w:p w14:paraId="572DD3BC" w14:textId="77777777" w:rsidR="008668C9" w:rsidRDefault="008668C9" w:rsidP="00596EB0">
      <w:pPr>
        <w:pStyle w:val="ListParagraph"/>
        <w:numPr>
          <w:ilvl w:val="0"/>
          <w:numId w:val="14"/>
        </w:numPr>
      </w:pPr>
      <w:r>
        <w:t>What lessons should Maryland learn from those states’ procurements</w:t>
      </w:r>
      <w:r w:rsidR="008C1DF0">
        <w:t>?</w:t>
      </w:r>
    </w:p>
    <w:p w14:paraId="1420B3A8" w14:textId="77777777" w:rsidR="008668C9" w:rsidRDefault="008668C9" w:rsidP="00596EB0">
      <w:pPr>
        <w:pStyle w:val="ListParagraph"/>
        <w:numPr>
          <w:ilvl w:val="0"/>
          <w:numId w:val="14"/>
        </w:numPr>
      </w:pPr>
      <w:r>
        <w:t>How can certain aspects of thos</w:t>
      </w:r>
      <w:r w:rsidR="008C1DF0">
        <w:t xml:space="preserve">e structures be adopted by the </w:t>
      </w:r>
      <w:r>
        <w:t xml:space="preserve">PSC to improve its program within </w:t>
      </w:r>
      <w:r w:rsidR="00596EB0">
        <w:t xml:space="preserve">the scope of the applicable </w:t>
      </w:r>
      <w:r w:rsidR="00287F7F">
        <w:t xml:space="preserve">statutory </w:t>
      </w:r>
      <w:r>
        <w:t>provisions?</w:t>
      </w:r>
      <w:r w:rsidRPr="008668C9">
        <w:t xml:space="preserve"> </w:t>
      </w:r>
    </w:p>
    <w:p w14:paraId="4598FE23" w14:textId="77777777" w:rsidR="00A4315D" w:rsidRDefault="008668C9" w:rsidP="00596EB0">
      <w:pPr>
        <w:pStyle w:val="ListParagraph"/>
        <w:numPr>
          <w:ilvl w:val="0"/>
          <w:numId w:val="14"/>
        </w:numPr>
      </w:pPr>
      <w:r>
        <w:t xml:space="preserve">What other considerations should the </w:t>
      </w:r>
      <w:r w:rsidR="0044004F">
        <w:t>PSC</w:t>
      </w:r>
      <w:r>
        <w:t xml:space="preserve"> take into account when updating its OSW regulations for the next procurement round?</w:t>
      </w:r>
    </w:p>
    <w:p w14:paraId="195A50D8" w14:textId="77777777" w:rsidR="008668C9" w:rsidRDefault="008668C9" w:rsidP="008668C9">
      <w:pPr>
        <w:ind w:left="360"/>
      </w:pPr>
    </w:p>
    <w:p w14:paraId="38DC36ED" w14:textId="77777777" w:rsidR="001F2049" w:rsidRDefault="00596EB0" w:rsidP="001F2049">
      <w:pPr>
        <w:rPr>
          <w:u w:val="single"/>
        </w:rPr>
      </w:pPr>
      <w:r w:rsidRPr="00596EB0">
        <w:t>2.</w:t>
      </w:r>
      <w:r w:rsidRPr="00596EB0">
        <w:tab/>
      </w:r>
      <w:r w:rsidR="001F2049">
        <w:rPr>
          <w:u w:val="single"/>
        </w:rPr>
        <w:t xml:space="preserve">Current PSC Regulations </w:t>
      </w:r>
    </w:p>
    <w:p w14:paraId="7333EE5F" w14:textId="38C30A8D" w:rsidR="001F2049" w:rsidRDefault="001F2049" w:rsidP="001F2049">
      <w:r>
        <w:t>The PSC’s OSW procurement regulations currently in effect as provided in Subtitle 61 of Chapter 20 of the COMAR reflect the Offshore Wind Energy Act of 2013. The 2019 CEJA require</w:t>
      </w:r>
      <w:r w:rsidR="002C11FA">
        <w:t>s</w:t>
      </w:r>
      <w:r>
        <w:t xml:space="preserve"> certain updates to the current OSW procurement regulations. </w:t>
      </w:r>
    </w:p>
    <w:p w14:paraId="2A4CAF45" w14:textId="77777777" w:rsidR="001F2049" w:rsidRDefault="0024748B" w:rsidP="0024748B">
      <w:pPr>
        <w:pStyle w:val="ListParagraph"/>
        <w:numPr>
          <w:ilvl w:val="0"/>
          <w:numId w:val="26"/>
        </w:numPr>
        <w:spacing w:line="256" w:lineRule="auto"/>
      </w:pPr>
      <w:r>
        <w:t xml:space="preserve">What aspects of the </w:t>
      </w:r>
      <w:r w:rsidR="001F2049">
        <w:t xml:space="preserve">current regulations </w:t>
      </w:r>
      <w:r>
        <w:t xml:space="preserve">are </w:t>
      </w:r>
      <w:r w:rsidR="001F2049">
        <w:t>reasonable and appropriate</w:t>
      </w:r>
      <w:r>
        <w:t>, and which parts should be improved upon</w:t>
      </w:r>
      <w:r w:rsidR="001F2049">
        <w:t xml:space="preserve">? </w:t>
      </w:r>
    </w:p>
    <w:p w14:paraId="5AECAE2D" w14:textId="77777777" w:rsidR="0024748B" w:rsidRDefault="0024748B" w:rsidP="0024748B">
      <w:pPr>
        <w:pStyle w:val="ListParagraph"/>
        <w:numPr>
          <w:ilvl w:val="0"/>
          <w:numId w:val="26"/>
        </w:numPr>
        <w:spacing w:line="256" w:lineRule="auto"/>
      </w:pPr>
      <w:r>
        <w:t xml:space="preserve">In addition to the updates required by the CEJA, what additional updates should the </w:t>
      </w:r>
      <w:r w:rsidR="001F2049">
        <w:t xml:space="preserve">PSC </w:t>
      </w:r>
      <w:r>
        <w:t xml:space="preserve">consider </w:t>
      </w:r>
      <w:r w:rsidR="001F2049">
        <w:t>to the OSW procurement regulations?</w:t>
      </w:r>
    </w:p>
    <w:p w14:paraId="44E2D275" w14:textId="77777777" w:rsidR="001F2049" w:rsidRDefault="001F2049" w:rsidP="0093587E"/>
    <w:p w14:paraId="4CB0B1BD" w14:textId="77777777" w:rsidR="0093587E" w:rsidRPr="000B3905" w:rsidRDefault="001F2049" w:rsidP="0093587E">
      <w:pPr>
        <w:rPr>
          <w:u w:val="single"/>
        </w:rPr>
      </w:pPr>
      <w:r>
        <w:t>3.</w:t>
      </w:r>
      <w:r>
        <w:tab/>
      </w:r>
      <w:r w:rsidR="0093587E" w:rsidRPr="000B3905">
        <w:rPr>
          <w:u w:val="single"/>
        </w:rPr>
        <w:t xml:space="preserve">Price </w:t>
      </w:r>
      <w:r w:rsidR="00E82225">
        <w:rPr>
          <w:u w:val="single"/>
        </w:rPr>
        <w:t>C</w:t>
      </w:r>
      <w:r w:rsidR="0093587E" w:rsidRPr="000B3905">
        <w:rPr>
          <w:u w:val="single"/>
        </w:rPr>
        <w:t xml:space="preserve">ap and </w:t>
      </w:r>
      <w:r w:rsidR="00E82225">
        <w:rPr>
          <w:u w:val="single"/>
        </w:rPr>
        <w:t>N</w:t>
      </w:r>
      <w:r w:rsidR="0093587E" w:rsidRPr="000B3905">
        <w:rPr>
          <w:u w:val="single"/>
        </w:rPr>
        <w:t xml:space="preserve">et </w:t>
      </w:r>
      <w:r w:rsidR="00E82225">
        <w:rPr>
          <w:u w:val="single"/>
        </w:rPr>
        <w:t>R</w:t>
      </w:r>
      <w:r w:rsidR="0093587E" w:rsidRPr="000B3905">
        <w:rPr>
          <w:u w:val="single"/>
        </w:rPr>
        <w:t xml:space="preserve">atepayer </w:t>
      </w:r>
      <w:r w:rsidR="00E82225">
        <w:rPr>
          <w:u w:val="single"/>
        </w:rPr>
        <w:t>I</w:t>
      </w:r>
      <w:r w:rsidR="0093587E" w:rsidRPr="000B3905">
        <w:rPr>
          <w:u w:val="single"/>
        </w:rPr>
        <w:t xml:space="preserve">mpact </w:t>
      </w:r>
      <w:r w:rsidR="00E82225">
        <w:rPr>
          <w:u w:val="single"/>
        </w:rPr>
        <w:t>C</w:t>
      </w:r>
      <w:r w:rsidR="0093587E" w:rsidRPr="000B3905">
        <w:rPr>
          <w:u w:val="single"/>
        </w:rPr>
        <w:t>aps</w:t>
      </w:r>
    </w:p>
    <w:p w14:paraId="319F7455" w14:textId="0B36A24C" w:rsidR="00251B5B" w:rsidRDefault="00D75F32" w:rsidP="00287F7F">
      <w:r>
        <w:t xml:space="preserve">Maryland’s Offshore Wind Energy Act of 2013 established a </w:t>
      </w:r>
      <w:r w:rsidR="009F7BED">
        <w:t xml:space="preserve">$190/MWH (2012 $) levelized price cap and net ratepayer impact caps of </w:t>
      </w:r>
      <w:r w:rsidR="009F7BED" w:rsidRPr="009F7BED">
        <w:t xml:space="preserve">$1.50/month (2012 $) </w:t>
      </w:r>
      <w:r w:rsidR="009F7BED">
        <w:t xml:space="preserve">for residential customers </w:t>
      </w:r>
      <w:r w:rsidR="009F7BED" w:rsidRPr="009F7BED">
        <w:t xml:space="preserve">over the </w:t>
      </w:r>
      <w:r w:rsidR="009F7BED">
        <w:t xml:space="preserve">20-year </w:t>
      </w:r>
      <w:r w:rsidR="009F7BED" w:rsidRPr="009F7BED">
        <w:t>OREC term assuming an annual consumption of 12,000 kWh/year</w:t>
      </w:r>
      <w:r w:rsidR="009F7BED">
        <w:t xml:space="preserve"> and 1.5% for </w:t>
      </w:r>
      <w:r w:rsidR="009F7BED" w:rsidRPr="009F7BED">
        <w:t xml:space="preserve">non-residential </w:t>
      </w:r>
      <w:r w:rsidR="009F7BED">
        <w:t>customers</w:t>
      </w:r>
      <w:r w:rsidR="009F7BED" w:rsidRPr="009F7BED">
        <w:t xml:space="preserve"> over the </w:t>
      </w:r>
      <w:r w:rsidR="009F7BED">
        <w:t xml:space="preserve">20-year </w:t>
      </w:r>
      <w:r w:rsidR="009F7BED" w:rsidRPr="009F7BED">
        <w:t xml:space="preserve">OREC term. </w:t>
      </w:r>
      <w:r w:rsidR="009F7BED">
        <w:t xml:space="preserve"> Net ratepayer impacts included the expected reduction in wholesale market energy and capacity prices.  The two selected projects were found to satisfy these caps</w:t>
      </w:r>
      <w:r w:rsidR="0066690E">
        <w:t xml:space="preserve"> individually and collectively</w:t>
      </w:r>
      <w:r w:rsidR="009F7BED">
        <w:t xml:space="preserve">. </w:t>
      </w:r>
      <w:r w:rsidR="00131BA1">
        <w:t xml:space="preserve">Under the </w:t>
      </w:r>
      <w:r w:rsidR="00596EB0">
        <w:t>CEJA</w:t>
      </w:r>
      <w:r w:rsidR="00E809E4">
        <w:t>,</w:t>
      </w:r>
      <w:r w:rsidR="00131BA1">
        <w:t xml:space="preserve"> the net rate</w:t>
      </w:r>
      <w:r w:rsidR="00642380">
        <w:t>payer</w:t>
      </w:r>
      <w:r w:rsidR="00131BA1">
        <w:t xml:space="preserve"> impacts are $0.88</w:t>
      </w:r>
      <w:r w:rsidR="00596EB0">
        <w:t>/month (2018</w:t>
      </w:r>
      <w:r w:rsidR="00251B5B">
        <w:t>$) for residential customers and 0.9% for non-residential customers</w:t>
      </w:r>
      <w:r w:rsidR="00642380">
        <w:t xml:space="preserve"> for the Round 2 OSW procurement</w:t>
      </w:r>
      <w:r w:rsidR="00251B5B">
        <w:t>.</w:t>
      </w:r>
      <w:r w:rsidR="00642380">
        <w:t xml:space="preserve"> </w:t>
      </w:r>
    </w:p>
    <w:p w14:paraId="2D137F0B" w14:textId="77777777" w:rsidR="002C11FA" w:rsidRDefault="002C11FA" w:rsidP="00573CE0">
      <w:pPr>
        <w:pStyle w:val="ListParagraph"/>
        <w:numPr>
          <w:ilvl w:val="0"/>
          <w:numId w:val="15"/>
        </w:numPr>
      </w:pPr>
      <w:r>
        <w:t xml:space="preserve">Did the caps lead to any specific outcomes for Maryland? </w:t>
      </w:r>
    </w:p>
    <w:p w14:paraId="4D3E9E18" w14:textId="05E49422" w:rsidR="00131BA1" w:rsidRDefault="00251B5B" w:rsidP="00573CE0">
      <w:pPr>
        <w:pStyle w:val="ListParagraph"/>
        <w:numPr>
          <w:ilvl w:val="0"/>
          <w:numId w:val="15"/>
        </w:numPr>
      </w:pPr>
      <w:r>
        <w:t>A</w:t>
      </w:r>
      <w:r w:rsidR="00B82075">
        <w:t>r</w:t>
      </w:r>
      <w:r>
        <w:t xml:space="preserve">e </w:t>
      </w:r>
      <w:r w:rsidR="00131BA1">
        <w:t xml:space="preserve">the </w:t>
      </w:r>
      <w:r w:rsidR="0041631F">
        <w:t xml:space="preserve">net </w:t>
      </w:r>
      <w:r>
        <w:t>ratepayer impact caps for Maryland’s Round 2 OSW procurement (per the 2019 Clean Energy Jobs Act) reasonable</w:t>
      </w:r>
      <w:r w:rsidR="00326FA0">
        <w:t xml:space="preserve">, too lenient, or too </w:t>
      </w:r>
      <w:r>
        <w:t>restrictive?</w:t>
      </w:r>
    </w:p>
    <w:p w14:paraId="7643E7EA" w14:textId="77777777" w:rsidR="00251B5B" w:rsidRDefault="00251B5B" w:rsidP="00573CE0">
      <w:pPr>
        <w:pStyle w:val="ListParagraph"/>
        <w:numPr>
          <w:ilvl w:val="0"/>
          <w:numId w:val="15"/>
        </w:numPr>
      </w:pPr>
      <w:r>
        <w:t xml:space="preserve">Do you expect the </w:t>
      </w:r>
      <w:r w:rsidR="00287F7F">
        <w:t xml:space="preserve">potential </w:t>
      </w:r>
      <w:r>
        <w:t xml:space="preserve">Round 2 </w:t>
      </w:r>
      <w:r w:rsidR="00287F7F">
        <w:t xml:space="preserve">to </w:t>
      </w:r>
      <w:r>
        <w:t xml:space="preserve">lead to similar </w:t>
      </w:r>
      <w:r w:rsidR="00A361A3">
        <w:t xml:space="preserve">or different </w:t>
      </w:r>
      <w:r>
        <w:t>outcomes as the Round 1 caps?</w:t>
      </w:r>
    </w:p>
    <w:p w14:paraId="2624FD1C" w14:textId="77777777" w:rsidR="00251B5B" w:rsidRDefault="00251B5B" w:rsidP="00251B5B"/>
    <w:p w14:paraId="740EF3CF" w14:textId="77777777" w:rsidR="0093587E" w:rsidRPr="000B3905" w:rsidRDefault="0024748B" w:rsidP="0093587E">
      <w:pPr>
        <w:rPr>
          <w:u w:val="single"/>
        </w:rPr>
      </w:pPr>
      <w:r>
        <w:t>4</w:t>
      </w:r>
      <w:r w:rsidR="00573CE0">
        <w:t>.</w:t>
      </w:r>
      <w:r w:rsidR="00573CE0">
        <w:tab/>
      </w:r>
      <w:r w:rsidR="0093587E" w:rsidRPr="000B3905">
        <w:rPr>
          <w:u w:val="single"/>
        </w:rPr>
        <w:t xml:space="preserve">OREC </w:t>
      </w:r>
      <w:r w:rsidR="00E82225">
        <w:rPr>
          <w:u w:val="single"/>
        </w:rPr>
        <w:t>B</w:t>
      </w:r>
      <w:r w:rsidR="0093587E" w:rsidRPr="000B3905">
        <w:rPr>
          <w:u w:val="single"/>
        </w:rPr>
        <w:t xml:space="preserve">id </w:t>
      </w:r>
      <w:r w:rsidR="00E82225">
        <w:rPr>
          <w:u w:val="single"/>
        </w:rPr>
        <w:t>P</w:t>
      </w:r>
      <w:r w:rsidR="0093587E" w:rsidRPr="000B3905">
        <w:rPr>
          <w:u w:val="single"/>
        </w:rPr>
        <w:t xml:space="preserve">rice </w:t>
      </w:r>
      <w:r w:rsidR="00E82225">
        <w:rPr>
          <w:u w:val="single"/>
        </w:rPr>
        <w:t>F</w:t>
      </w:r>
      <w:r w:rsidR="0093587E" w:rsidRPr="000B3905">
        <w:rPr>
          <w:u w:val="single"/>
        </w:rPr>
        <w:t>ormat</w:t>
      </w:r>
    </w:p>
    <w:p w14:paraId="7CAC47D4" w14:textId="77777777" w:rsidR="00A6098B" w:rsidRDefault="00573CE0" w:rsidP="0093587E">
      <w:r>
        <w:t xml:space="preserve">Commission consultants </w:t>
      </w:r>
      <w:r w:rsidR="00A6098B">
        <w:t xml:space="preserve">developed </w:t>
      </w:r>
      <w:r w:rsidR="0041631F">
        <w:t>E</w:t>
      </w:r>
      <w:r w:rsidR="00A6098B">
        <w:t xml:space="preserve">xcel-based spreadsheet </w:t>
      </w:r>
      <w:r w:rsidR="0041631F">
        <w:t xml:space="preserve">price </w:t>
      </w:r>
      <w:r w:rsidR="00A6098B">
        <w:t xml:space="preserve">forms for OSW developers to enter their </w:t>
      </w:r>
      <w:r w:rsidR="00775DA0">
        <w:t xml:space="preserve">year-by-year </w:t>
      </w:r>
      <w:r w:rsidR="00A6098B">
        <w:t xml:space="preserve">OREC price bids.  </w:t>
      </w:r>
      <w:r w:rsidR="00775DA0">
        <w:t xml:space="preserve">The </w:t>
      </w:r>
      <w:r w:rsidR="003950A8">
        <w:t>spreadsheet included an instructions page</w:t>
      </w:r>
      <w:r w:rsidR="0066690E">
        <w:t>,</w:t>
      </w:r>
      <w:r w:rsidR="003950A8">
        <w:t xml:space="preserve"> </w:t>
      </w:r>
      <w:r w:rsidR="00775DA0">
        <w:t>automatically calculated the levelized price based on discount and inflation rates approved by the PSC</w:t>
      </w:r>
      <w:r w:rsidR="0066690E">
        <w:t>,</w:t>
      </w:r>
      <w:r w:rsidR="00775DA0">
        <w:t xml:space="preserve"> and notified the user if the levelized price exceeded the $190/MWh (2012 $) </w:t>
      </w:r>
      <w:r w:rsidR="009F7BED">
        <w:t xml:space="preserve">levelized </w:t>
      </w:r>
      <w:r w:rsidR="00775DA0">
        <w:t xml:space="preserve">price cap.  Each developer had </w:t>
      </w:r>
      <w:r w:rsidR="00775DA0">
        <w:lastRenderedPageBreak/>
        <w:t>a chance to test the spreadsheet in advance to get comfortable with it.</w:t>
      </w:r>
      <w:r w:rsidR="00C835E9">
        <w:t xml:space="preserve">  The spreadsheet form had two options: a one-part bid in which the developer would absorb any cost of transmission upgrades and a two-part bid in which the </w:t>
      </w:r>
      <w:r w:rsidR="00D91042">
        <w:t xml:space="preserve">second bid part would be adjusted pro-rata </w:t>
      </w:r>
      <w:r w:rsidR="003950A8">
        <w:t xml:space="preserve">from </w:t>
      </w:r>
      <w:r w:rsidR="00D91042">
        <w:t>the PSC’s estimated cost of transmission upgrades</w:t>
      </w:r>
      <w:r w:rsidR="003950A8">
        <w:t xml:space="preserve"> to PJM’s actual cost</w:t>
      </w:r>
      <w:r w:rsidR="00D91042">
        <w:t>.</w:t>
      </w:r>
    </w:p>
    <w:p w14:paraId="784C8520" w14:textId="77777777" w:rsidR="00775DA0" w:rsidRDefault="00775DA0" w:rsidP="00573CE0">
      <w:pPr>
        <w:pStyle w:val="ListParagraph"/>
        <w:numPr>
          <w:ilvl w:val="0"/>
          <w:numId w:val="16"/>
        </w:numPr>
      </w:pPr>
      <w:r>
        <w:t>Were the spreadsheet instructions clear?</w:t>
      </w:r>
    </w:p>
    <w:p w14:paraId="2A9C193B" w14:textId="77777777" w:rsidR="00775DA0" w:rsidRDefault="00775DA0" w:rsidP="00573CE0">
      <w:pPr>
        <w:pStyle w:val="ListParagraph"/>
        <w:numPr>
          <w:ilvl w:val="0"/>
          <w:numId w:val="16"/>
        </w:numPr>
      </w:pPr>
      <w:r>
        <w:t xml:space="preserve">Was the spreadsheet user-friendly?  </w:t>
      </w:r>
    </w:p>
    <w:p w14:paraId="4180C8F8" w14:textId="77777777" w:rsidR="00775DA0" w:rsidRDefault="00775DA0" w:rsidP="00573CE0">
      <w:pPr>
        <w:pStyle w:val="ListParagraph"/>
        <w:numPr>
          <w:ilvl w:val="0"/>
          <w:numId w:val="16"/>
        </w:numPr>
      </w:pPr>
      <w:r>
        <w:t>Did you have any problems entering data or submitting the OREC price form?</w:t>
      </w:r>
    </w:p>
    <w:p w14:paraId="04AAB873" w14:textId="77777777" w:rsidR="00775DA0" w:rsidRDefault="00775DA0" w:rsidP="00573CE0">
      <w:pPr>
        <w:pStyle w:val="ListParagraph"/>
        <w:numPr>
          <w:ilvl w:val="0"/>
          <w:numId w:val="16"/>
        </w:numPr>
      </w:pPr>
      <w:r>
        <w:t xml:space="preserve">How could </w:t>
      </w:r>
      <w:r w:rsidR="009F7BED">
        <w:t xml:space="preserve">the price form </w:t>
      </w:r>
      <w:r>
        <w:t xml:space="preserve">have been improved?  </w:t>
      </w:r>
    </w:p>
    <w:p w14:paraId="2472CBE7" w14:textId="77777777" w:rsidR="00D91042" w:rsidRDefault="00503C2C" w:rsidP="00573CE0">
      <w:pPr>
        <w:pStyle w:val="ListParagraph"/>
        <w:numPr>
          <w:ilvl w:val="0"/>
          <w:numId w:val="16"/>
        </w:numPr>
      </w:pPr>
      <w:r>
        <w:t>If you were a bidder, d</w:t>
      </w:r>
      <w:r w:rsidR="00D91042">
        <w:t>id you choose to submit a one-part or two-part bid?  Why?</w:t>
      </w:r>
    </w:p>
    <w:p w14:paraId="63051244" w14:textId="77777777" w:rsidR="003950A8" w:rsidRDefault="003950A8" w:rsidP="00573CE0">
      <w:pPr>
        <w:pStyle w:val="ListParagraph"/>
        <w:numPr>
          <w:ilvl w:val="0"/>
          <w:numId w:val="16"/>
        </w:numPr>
      </w:pPr>
      <w:r>
        <w:t xml:space="preserve">Are transmission upgrades a significant risk factor?  </w:t>
      </w:r>
    </w:p>
    <w:p w14:paraId="549AA121" w14:textId="77777777" w:rsidR="00D91042" w:rsidRDefault="00D91042" w:rsidP="00573CE0">
      <w:pPr>
        <w:pStyle w:val="ListParagraph"/>
        <w:numPr>
          <w:ilvl w:val="0"/>
          <w:numId w:val="16"/>
        </w:numPr>
      </w:pPr>
      <w:r>
        <w:t>Should future OSW solicitations also have one-part and two-part bid options?</w:t>
      </w:r>
    </w:p>
    <w:p w14:paraId="4B245471" w14:textId="77777777" w:rsidR="003950A8" w:rsidRDefault="003950A8" w:rsidP="00573CE0">
      <w:pPr>
        <w:pStyle w:val="ListParagraph"/>
        <w:numPr>
          <w:ilvl w:val="0"/>
          <w:numId w:val="16"/>
        </w:numPr>
      </w:pPr>
      <w:r>
        <w:t>Is there a</w:t>
      </w:r>
      <w:r w:rsidR="00757FD4">
        <w:t>nother,</w:t>
      </w:r>
      <w:r>
        <w:t xml:space="preserve"> preferred price </w:t>
      </w:r>
      <w:r w:rsidR="00757FD4">
        <w:t xml:space="preserve">adjustment </w:t>
      </w:r>
      <w:r>
        <w:t>mechanism to handle unknown transmission upgrade costs?</w:t>
      </w:r>
    </w:p>
    <w:p w14:paraId="4BC84AA4" w14:textId="77777777" w:rsidR="00775DA0" w:rsidRDefault="00775DA0" w:rsidP="00573CE0">
      <w:pPr>
        <w:pStyle w:val="ListParagraph"/>
        <w:numPr>
          <w:ilvl w:val="0"/>
          <w:numId w:val="16"/>
        </w:numPr>
      </w:pPr>
      <w:r>
        <w:t xml:space="preserve">Was there any question about the calculation accuracy or spreadsheet integrity?  </w:t>
      </w:r>
    </w:p>
    <w:p w14:paraId="5DE45C61" w14:textId="77777777" w:rsidR="009F7BED" w:rsidRDefault="009F7BED" w:rsidP="00573CE0">
      <w:pPr>
        <w:pStyle w:val="ListParagraph"/>
        <w:numPr>
          <w:ilvl w:val="0"/>
          <w:numId w:val="16"/>
        </w:numPr>
      </w:pPr>
      <w:r>
        <w:t>Do you have other suggestions to improve the OREC bid price format?</w:t>
      </w:r>
    </w:p>
    <w:p w14:paraId="1CB8D72C" w14:textId="77777777" w:rsidR="00A4315D" w:rsidRDefault="00A4315D" w:rsidP="00A4315D"/>
    <w:p w14:paraId="7A2375F8" w14:textId="77777777" w:rsidR="0093587E" w:rsidRPr="000B3905" w:rsidRDefault="0024748B" w:rsidP="0093587E">
      <w:pPr>
        <w:rPr>
          <w:u w:val="single"/>
        </w:rPr>
      </w:pPr>
      <w:r>
        <w:t>5</w:t>
      </w:r>
      <w:r w:rsidR="004372CD" w:rsidRPr="004372CD">
        <w:t>.</w:t>
      </w:r>
      <w:r w:rsidR="004372CD" w:rsidRPr="004372CD">
        <w:tab/>
      </w:r>
      <w:r w:rsidR="00E82225">
        <w:rPr>
          <w:u w:val="single"/>
        </w:rPr>
        <w:t xml:space="preserve">Quantitative </w:t>
      </w:r>
      <w:r w:rsidR="0093587E" w:rsidRPr="000B3905">
        <w:rPr>
          <w:u w:val="single"/>
        </w:rPr>
        <w:t xml:space="preserve">Evaluation </w:t>
      </w:r>
      <w:r w:rsidR="00E82225">
        <w:rPr>
          <w:u w:val="single"/>
        </w:rPr>
        <w:t>P</w:t>
      </w:r>
      <w:r w:rsidR="0093587E" w:rsidRPr="000B3905">
        <w:rPr>
          <w:u w:val="single"/>
        </w:rPr>
        <w:t>rocess</w:t>
      </w:r>
    </w:p>
    <w:p w14:paraId="3D7193C5" w14:textId="77777777" w:rsidR="000B3905" w:rsidRDefault="003950A8" w:rsidP="000B3905">
      <w:r>
        <w:t xml:space="preserve">After OSW applications were determined to be </w:t>
      </w:r>
      <w:r w:rsidR="000B3905">
        <w:t xml:space="preserve">“administratively complete” </w:t>
      </w:r>
      <w:r>
        <w:t>and</w:t>
      </w:r>
      <w:r w:rsidR="000B3905">
        <w:t xml:space="preserve"> minimum threshold criteria were satisfied</w:t>
      </w:r>
      <w:r w:rsidR="00F0593F">
        <w:t xml:space="preserve">, the price and non-price (see below) portions of the applications were evaluated </w:t>
      </w:r>
      <w:r w:rsidR="00CC19E3">
        <w:t xml:space="preserve">The </w:t>
      </w:r>
      <w:r w:rsidR="0066690E">
        <w:t xml:space="preserve">quantitative </w:t>
      </w:r>
      <w:r w:rsidR="00CC19E3">
        <w:t xml:space="preserve">evaluation </w:t>
      </w:r>
      <w:r w:rsidR="00F0593F">
        <w:t>includ</w:t>
      </w:r>
      <w:r w:rsidR="00CC19E3">
        <w:t>ed</w:t>
      </w:r>
      <w:r w:rsidR="00F0593F">
        <w:t xml:space="preserve"> independent forecast</w:t>
      </w:r>
      <w:r w:rsidR="00CC19E3">
        <w:t>s</w:t>
      </w:r>
      <w:r w:rsidR="00F0593F">
        <w:t xml:space="preserve"> </w:t>
      </w:r>
      <w:r w:rsidR="00C64F89">
        <w:t xml:space="preserve">by the PSC’s consultant </w:t>
      </w:r>
      <w:r w:rsidR="0066690E">
        <w:t xml:space="preserve">of impacts </w:t>
      </w:r>
      <w:r w:rsidR="00F0593F">
        <w:t>to</w:t>
      </w:r>
      <w:r w:rsidR="00CC19E3">
        <w:t xml:space="preserve"> </w:t>
      </w:r>
      <w:r w:rsidR="00F0593F">
        <w:t>wholesale market energy and capacity price</w:t>
      </w:r>
      <w:r w:rsidR="0066690E">
        <w:t>s</w:t>
      </w:r>
      <w:r w:rsidR="00642380">
        <w:t xml:space="preserve"> </w:t>
      </w:r>
      <w:r w:rsidR="0066690E">
        <w:t xml:space="preserve">along with </w:t>
      </w:r>
      <w:r w:rsidR="00F0593F">
        <w:t>avoided ai</w:t>
      </w:r>
      <w:r w:rsidR="00C64F89">
        <w:t>r</w:t>
      </w:r>
      <w:r w:rsidR="00F0593F">
        <w:t xml:space="preserve"> emissions to ensure comparability between the projects. </w:t>
      </w:r>
    </w:p>
    <w:p w14:paraId="493EBCF7" w14:textId="77777777" w:rsidR="00A6098B" w:rsidRDefault="00C64F89" w:rsidP="004372CD">
      <w:pPr>
        <w:pStyle w:val="ListParagraph"/>
        <w:numPr>
          <w:ilvl w:val="0"/>
          <w:numId w:val="17"/>
        </w:numPr>
      </w:pPr>
      <w:r>
        <w:t>Were the forecasts of market power price impacts and avoided air emissions submitted by bidders useful?</w:t>
      </w:r>
    </w:p>
    <w:p w14:paraId="06E425C1" w14:textId="77777777" w:rsidR="00503C2C" w:rsidRDefault="00C64F89" w:rsidP="004372CD">
      <w:pPr>
        <w:pStyle w:val="ListParagraph"/>
        <w:numPr>
          <w:ilvl w:val="0"/>
          <w:numId w:val="17"/>
        </w:numPr>
      </w:pPr>
      <w:r>
        <w:t xml:space="preserve">Were the independent forecasts </w:t>
      </w:r>
      <w:r w:rsidR="009F7E7C">
        <w:t xml:space="preserve">of market power price impacts and avoided air emissions </w:t>
      </w:r>
      <w:r>
        <w:t>prepared by the P</w:t>
      </w:r>
      <w:r w:rsidR="00E82225">
        <w:t xml:space="preserve">SC’s consultant </w:t>
      </w:r>
      <w:r w:rsidR="004372CD">
        <w:t>useful</w:t>
      </w:r>
      <w:r w:rsidR="00E82225">
        <w:t xml:space="preserve">? </w:t>
      </w:r>
    </w:p>
    <w:p w14:paraId="7988FE4E" w14:textId="77777777" w:rsidR="00C64F89" w:rsidRDefault="00E82225" w:rsidP="004372CD">
      <w:pPr>
        <w:pStyle w:val="ListParagraph"/>
        <w:numPr>
          <w:ilvl w:val="0"/>
          <w:numId w:val="17"/>
        </w:numPr>
      </w:pPr>
      <w:r>
        <w:t>Were the</w:t>
      </w:r>
      <w:r w:rsidR="00503C2C">
        <w:t xml:space="preserve"> independent forecasts </w:t>
      </w:r>
      <w:r>
        <w:t xml:space="preserve">a better basis </w:t>
      </w:r>
      <w:r w:rsidR="00503C2C">
        <w:t xml:space="preserve">than the bidders’ forecasts </w:t>
      </w:r>
      <w:r>
        <w:t>to compare the two OSW projects?</w:t>
      </w:r>
    </w:p>
    <w:p w14:paraId="1790E216" w14:textId="77777777" w:rsidR="00E82225" w:rsidRDefault="004372CD" w:rsidP="004372CD">
      <w:pPr>
        <w:pStyle w:val="ListParagraph"/>
        <w:numPr>
          <w:ilvl w:val="0"/>
          <w:numId w:val="17"/>
        </w:numPr>
      </w:pPr>
      <w:r>
        <w:t xml:space="preserve">How might you improve the </w:t>
      </w:r>
      <w:r w:rsidR="00E82225">
        <w:t xml:space="preserve">key assumptions or calculation methods </w:t>
      </w:r>
      <w:r w:rsidR="009F7E7C">
        <w:t>used by the PSC’s consultant</w:t>
      </w:r>
      <w:r w:rsidR="00E82225">
        <w:t>?</w:t>
      </w:r>
    </w:p>
    <w:p w14:paraId="2C3E2143" w14:textId="77777777" w:rsidR="00CC19E3" w:rsidRDefault="00CC19E3" w:rsidP="004372CD">
      <w:pPr>
        <w:pStyle w:val="ListParagraph"/>
        <w:numPr>
          <w:ilvl w:val="0"/>
          <w:numId w:val="17"/>
        </w:numPr>
      </w:pPr>
      <w:r>
        <w:t xml:space="preserve">Were any aspects of the quantitative evaluation </w:t>
      </w:r>
      <w:r w:rsidR="00CE73E8">
        <w:t>unclear or lacking in transparency?</w:t>
      </w:r>
      <w:r>
        <w:t xml:space="preserve"> </w:t>
      </w:r>
    </w:p>
    <w:p w14:paraId="668ED4D0" w14:textId="77777777" w:rsidR="009F7BED" w:rsidRDefault="009F7E7C" w:rsidP="004372CD">
      <w:pPr>
        <w:pStyle w:val="ListParagraph"/>
        <w:numPr>
          <w:ilvl w:val="0"/>
          <w:numId w:val="17"/>
        </w:numPr>
      </w:pPr>
      <w:r>
        <w:t xml:space="preserve">Do you have any suggestions </w:t>
      </w:r>
      <w:r w:rsidR="00503C2C">
        <w:t>to improve the quantitative evaluations for the Round 2 OSW procurement?</w:t>
      </w:r>
    </w:p>
    <w:p w14:paraId="108728BA" w14:textId="77777777" w:rsidR="00A4315D" w:rsidRDefault="00A4315D" w:rsidP="00A4315D"/>
    <w:p w14:paraId="2C321008" w14:textId="77777777" w:rsidR="0093587E" w:rsidRPr="000B3905" w:rsidRDefault="0024748B" w:rsidP="0093587E">
      <w:pPr>
        <w:rPr>
          <w:u w:val="single"/>
        </w:rPr>
      </w:pPr>
      <w:r>
        <w:t>6</w:t>
      </w:r>
      <w:r w:rsidR="004372CD">
        <w:t>.</w:t>
      </w:r>
      <w:r w:rsidR="004372CD">
        <w:tab/>
      </w:r>
      <w:r w:rsidR="00E82225">
        <w:rPr>
          <w:u w:val="single"/>
        </w:rPr>
        <w:t>Qualitative Evaluation of N</w:t>
      </w:r>
      <w:r w:rsidR="0093587E" w:rsidRPr="000B3905">
        <w:rPr>
          <w:u w:val="single"/>
        </w:rPr>
        <w:t>on-</w:t>
      </w:r>
      <w:r w:rsidR="00E82225">
        <w:rPr>
          <w:u w:val="single"/>
        </w:rPr>
        <w:t>P</w:t>
      </w:r>
      <w:r w:rsidR="0093587E" w:rsidRPr="000B3905">
        <w:rPr>
          <w:u w:val="single"/>
        </w:rPr>
        <w:t xml:space="preserve">rice </w:t>
      </w:r>
      <w:r w:rsidR="00E82225">
        <w:rPr>
          <w:u w:val="single"/>
        </w:rPr>
        <w:t>C</w:t>
      </w:r>
      <w:r w:rsidR="0093587E" w:rsidRPr="000B3905">
        <w:rPr>
          <w:u w:val="single"/>
        </w:rPr>
        <w:t xml:space="preserve">riteria </w:t>
      </w:r>
      <w:r w:rsidR="00E82225">
        <w:rPr>
          <w:u w:val="single"/>
        </w:rPr>
        <w:t xml:space="preserve">(including </w:t>
      </w:r>
      <w:r w:rsidR="0093587E" w:rsidRPr="000B3905">
        <w:rPr>
          <w:u w:val="single"/>
        </w:rPr>
        <w:t xml:space="preserve">MBE </w:t>
      </w:r>
      <w:r w:rsidR="00A56E91" w:rsidRPr="000B3905">
        <w:rPr>
          <w:u w:val="single"/>
        </w:rPr>
        <w:t>p</w:t>
      </w:r>
      <w:r w:rsidR="0093587E" w:rsidRPr="000B3905">
        <w:rPr>
          <w:u w:val="single"/>
        </w:rPr>
        <w:t xml:space="preserve">articipation and </w:t>
      </w:r>
      <w:r w:rsidR="00A56E91" w:rsidRPr="000B3905">
        <w:rPr>
          <w:u w:val="single"/>
        </w:rPr>
        <w:t>w</w:t>
      </w:r>
      <w:r w:rsidR="0093587E" w:rsidRPr="000B3905">
        <w:rPr>
          <w:u w:val="single"/>
        </w:rPr>
        <w:t xml:space="preserve">orkforce </w:t>
      </w:r>
      <w:r w:rsidR="004372CD">
        <w:tab/>
      </w:r>
      <w:r w:rsidR="00A56E91" w:rsidRPr="000B3905">
        <w:rPr>
          <w:u w:val="single"/>
        </w:rPr>
        <w:t>d</w:t>
      </w:r>
      <w:r w:rsidR="0093587E" w:rsidRPr="000B3905">
        <w:rPr>
          <w:u w:val="single"/>
        </w:rPr>
        <w:t>evelopment</w:t>
      </w:r>
      <w:r w:rsidR="00E82225">
        <w:rPr>
          <w:u w:val="single"/>
        </w:rPr>
        <w:t>)</w:t>
      </w:r>
    </w:p>
    <w:p w14:paraId="179DE00B" w14:textId="77777777" w:rsidR="001E38AC" w:rsidRDefault="004372CD" w:rsidP="001E38AC">
      <w:r>
        <w:t xml:space="preserve">The </w:t>
      </w:r>
      <w:r w:rsidR="001E38AC">
        <w:t xml:space="preserve">PSC evaluated non-price criteria on a qualitative basis using a color-coding scheme </w:t>
      </w:r>
      <w:r w:rsidR="00AA59BA">
        <w:t xml:space="preserve">for evaluations that were good, fair (met expectations), poor, or unsatisfactory.  </w:t>
      </w:r>
      <w:r w:rsidR="001E38AC">
        <w:t xml:space="preserve">The non-price criteria included (i) project team experience, (ii) project characteristics and design, (iii) financial plan </w:t>
      </w:r>
      <w:r w:rsidR="00AA59BA">
        <w:t>&amp;</w:t>
      </w:r>
      <w:r w:rsidR="001E38AC">
        <w:t xml:space="preserve"> strength</w:t>
      </w:r>
      <w:r w:rsidR="00AA59BA">
        <w:t xml:space="preserve"> and obtaining grants &amp; tax credits</w:t>
      </w:r>
      <w:r w:rsidR="001E38AC">
        <w:t xml:space="preserve">, (iv) </w:t>
      </w:r>
      <w:r w:rsidR="00AA59BA">
        <w:t>s</w:t>
      </w:r>
      <w:r w:rsidR="001E38AC">
        <w:t xml:space="preserve">ite control and interconnection ROW, (v) project COD and </w:t>
      </w:r>
      <w:r w:rsidR="00AA59BA">
        <w:t xml:space="preserve">delay risks, </w:t>
      </w:r>
      <w:r w:rsidR="001E38AC">
        <w:lastRenderedPageBreak/>
        <w:t xml:space="preserve">(vi) </w:t>
      </w:r>
      <w:r w:rsidR="00AA59BA">
        <w:t>tr</w:t>
      </w:r>
      <w:r w:rsidR="001E38AC">
        <w:t>ansmission upgrade cost allocation</w:t>
      </w:r>
      <w:r w:rsidR="00AA59BA">
        <w:t xml:space="preserve">, </w:t>
      </w:r>
      <w:r w:rsidR="001E38AC">
        <w:t xml:space="preserve">(vii) </w:t>
      </w:r>
      <w:r w:rsidR="00AA59BA">
        <w:t>O&amp;M</w:t>
      </w:r>
      <w:r w:rsidR="001E38AC">
        <w:t xml:space="preserve"> plan</w:t>
      </w:r>
      <w:r w:rsidR="00AA59BA">
        <w:t xml:space="preserve">, </w:t>
      </w:r>
      <w:r w:rsidR="001E38AC">
        <w:t xml:space="preserve">(viii) </w:t>
      </w:r>
      <w:r w:rsidR="00AA59BA">
        <w:t>d</w:t>
      </w:r>
      <w:r w:rsidR="001E38AC">
        <w:t>ecommissioning plan</w:t>
      </w:r>
      <w:r w:rsidR="00AA59BA">
        <w:t xml:space="preserve">, </w:t>
      </w:r>
      <w:r w:rsidR="001E38AC">
        <w:t xml:space="preserve">(ix) </w:t>
      </w:r>
      <w:r w:rsidR="00AA59BA">
        <w:t>t</w:t>
      </w:r>
      <w:r w:rsidR="001E38AC">
        <w:t>ransmission improvements</w:t>
      </w:r>
      <w:r w:rsidR="00AA59BA">
        <w:t xml:space="preserve">, </w:t>
      </w:r>
      <w:r w:rsidR="001E38AC">
        <w:t xml:space="preserve">(x) </w:t>
      </w:r>
      <w:r w:rsidR="00AA59BA">
        <w:t>i</w:t>
      </w:r>
      <w:r w:rsidR="001E38AC">
        <w:t>n-state economic benefits</w:t>
      </w:r>
      <w:r w:rsidR="00AA59BA">
        <w:t xml:space="preserve">, </w:t>
      </w:r>
      <w:r w:rsidR="001E38AC">
        <w:t xml:space="preserve">(xi) </w:t>
      </w:r>
      <w:r w:rsidR="00AA59BA">
        <w:t>q</w:t>
      </w:r>
      <w:r w:rsidR="001E38AC">
        <w:t xml:space="preserve">uality of env’l </w:t>
      </w:r>
      <w:r w:rsidR="00AA59BA">
        <w:t>&amp;</w:t>
      </w:r>
      <w:r w:rsidR="001E38AC">
        <w:t xml:space="preserve"> health analysis</w:t>
      </w:r>
      <w:r w:rsidR="00AA59BA">
        <w:t xml:space="preserve"> and n</w:t>
      </w:r>
      <w:r w:rsidR="001E38AC">
        <w:t xml:space="preserve">et environmental </w:t>
      </w:r>
      <w:r w:rsidR="00AA59BA">
        <w:t xml:space="preserve">&amp; </w:t>
      </w:r>
      <w:r w:rsidR="001E38AC">
        <w:t>health impacts</w:t>
      </w:r>
      <w:r w:rsidR="00AA59BA">
        <w:t xml:space="preserve">, </w:t>
      </w:r>
      <w:r w:rsidR="001E38AC">
        <w:t xml:space="preserve">(xii) </w:t>
      </w:r>
      <w:r w:rsidR="00AA59BA">
        <w:t>m</w:t>
      </w:r>
      <w:r w:rsidR="001E38AC">
        <w:t>eet</w:t>
      </w:r>
      <w:r w:rsidR="00AA59BA">
        <w:t>ing</w:t>
      </w:r>
      <w:r w:rsidR="001E38AC">
        <w:t xml:space="preserve"> Maryland</w:t>
      </w:r>
      <w:r w:rsidR="00AA59BA">
        <w:t>’s</w:t>
      </w:r>
      <w:r w:rsidR="001E38AC">
        <w:t xml:space="preserve"> RPS target</w:t>
      </w:r>
      <w:r w:rsidR="00AA59BA">
        <w:t xml:space="preserve">, </w:t>
      </w:r>
      <w:r w:rsidR="001E38AC">
        <w:t xml:space="preserve">(xiii) </w:t>
      </w:r>
      <w:r w:rsidR="00AA59BA">
        <w:t>u</w:t>
      </w:r>
      <w:r w:rsidR="001E38AC">
        <w:t>nique attributes of project</w:t>
      </w:r>
      <w:r w:rsidR="00AA59BA">
        <w:t xml:space="preserve"> and conditions to pursue development, </w:t>
      </w:r>
      <w:r w:rsidR="001E38AC">
        <w:t xml:space="preserve">(xiv) </w:t>
      </w:r>
      <w:r w:rsidR="00AA59BA">
        <w:t>s</w:t>
      </w:r>
      <w:r w:rsidR="001E38AC">
        <w:t>mall and minority business engagement</w:t>
      </w:r>
      <w:r w:rsidR="00AA59BA">
        <w:t xml:space="preserve">, </w:t>
      </w:r>
      <w:r w:rsidR="001E38AC">
        <w:t xml:space="preserve">(xv) </w:t>
      </w:r>
      <w:r w:rsidR="00AA59BA">
        <w:t>m</w:t>
      </w:r>
      <w:r w:rsidR="001E38AC">
        <w:t>inority investor solicitation</w:t>
      </w:r>
      <w:r w:rsidR="00AA59BA">
        <w:t xml:space="preserve">, </w:t>
      </w:r>
      <w:r w:rsidR="001E38AC">
        <w:t xml:space="preserve">(xvi) </w:t>
      </w:r>
      <w:r w:rsidR="00AA59BA">
        <w:t>r</w:t>
      </w:r>
      <w:r w:rsidR="001E38AC">
        <w:t xml:space="preserve">atepayer cost impacts </w:t>
      </w:r>
      <w:r w:rsidR="00AA59BA">
        <w:t xml:space="preserve">and </w:t>
      </w:r>
      <w:r w:rsidR="001E38AC">
        <w:t>risk</w:t>
      </w:r>
      <w:r w:rsidR="00AA59BA">
        <w:t xml:space="preserve">, and </w:t>
      </w:r>
      <w:r w:rsidR="001E38AC">
        <w:t xml:space="preserve">(xvii) </w:t>
      </w:r>
      <w:r w:rsidR="00AA59BA">
        <w:t>q</w:t>
      </w:r>
      <w:r w:rsidR="001E38AC">
        <w:t>uality of electric market analysis</w:t>
      </w:r>
      <w:r w:rsidR="00AA59BA">
        <w:t xml:space="preserve"> and i</w:t>
      </w:r>
      <w:r w:rsidR="001E38AC">
        <w:t>mpacts on wholesale electric market</w:t>
      </w:r>
      <w:r w:rsidR="00AA59BA">
        <w:t>.</w:t>
      </w:r>
    </w:p>
    <w:p w14:paraId="1EA8D75F" w14:textId="77777777" w:rsidR="00775DA0" w:rsidRDefault="008F71F3" w:rsidP="00287F7F">
      <w:pPr>
        <w:pStyle w:val="ListParagraph"/>
        <w:numPr>
          <w:ilvl w:val="0"/>
          <w:numId w:val="24"/>
        </w:numPr>
      </w:pPr>
      <w:r>
        <w:t xml:space="preserve">How would you improve the </w:t>
      </w:r>
      <w:r w:rsidR="00AA59BA">
        <w:t xml:space="preserve">qualitative evaluation?  </w:t>
      </w:r>
    </w:p>
    <w:p w14:paraId="4E5B1507" w14:textId="77777777" w:rsidR="00287F7F" w:rsidRDefault="008F71F3" w:rsidP="00287F7F">
      <w:pPr>
        <w:pStyle w:val="ListParagraph"/>
        <w:numPr>
          <w:ilvl w:val="0"/>
          <w:numId w:val="24"/>
        </w:numPr>
      </w:pPr>
      <w:r>
        <w:t xml:space="preserve">Do you consider </w:t>
      </w:r>
      <w:r w:rsidR="00AA59BA">
        <w:t xml:space="preserve">any of these qualitative criteria demonstrably more or less important than others?  </w:t>
      </w:r>
    </w:p>
    <w:p w14:paraId="17428C41" w14:textId="77777777" w:rsidR="00F0593F" w:rsidRDefault="00F0593F" w:rsidP="00287F7F">
      <w:pPr>
        <w:pStyle w:val="ListParagraph"/>
        <w:numPr>
          <w:ilvl w:val="0"/>
          <w:numId w:val="24"/>
        </w:numPr>
      </w:pPr>
      <w:r>
        <w:t>Did the qualitative evaluation give sufficient weight to MBE participation, workforce development, or other criteria?</w:t>
      </w:r>
    </w:p>
    <w:p w14:paraId="6F0B63DD" w14:textId="77777777" w:rsidR="002E1026" w:rsidRDefault="00642F7B" w:rsidP="00287F7F">
      <w:pPr>
        <w:pStyle w:val="ListParagraph"/>
        <w:numPr>
          <w:ilvl w:val="0"/>
          <w:numId w:val="24"/>
        </w:numPr>
      </w:pPr>
      <w:r>
        <w:t>What ar</w:t>
      </w:r>
      <w:r w:rsidR="002E1026">
        <w:t>e the advantages and disadvantages of not weighting the quantitative and qualitative evaluations into a combined score?</w:t>
      </w:r>
    </w:p>
    <w:p w14:paraId="230315B7" w14:textId="77777777" w:rsidR="001E38AC" w:rsidRDefault="001E38AC" w:rsidP="0093587E"/>
    <w:p w14:paraId="4864CDD8" w14:textId="77777777" w:rsidR="0093587E" w:rsidRPr="000B3905" w:rsidRDefault="0024748B" w:rsidP="0093587E">
      <w:pPr>
        <w:rPr>
          <w:u w:val="single"/>
        </w:rPr>
      </w:pPr>
      <w:r>
        <w:t>7</w:t>
      </w:r>
      <w:r w:rsidR="008F71F3" w:rsidRPr="008F71F3">
        <w:t>.</w:t>
      </w:r>
      <w:r w:rsidR="008F71F3" w:rsidRPr="008F71F3">
        <w:tab/>
      </w:r>
      <w:r w:rsidR="0093587E" w:rsidRPr="000B3905">
        <w:rPr>
          <w:u w:val="single"/>
        </w:rPr>
        <w:t xml:space="preserve">Accommodation of OSW </w:t>
      </w:r>
      <w:r w:rsidR="00A4315D">
        <w:rPr>
          <w:u w:val="single"/>
        </w:rPr>
        <w:t>C</w:t>
      </w:r>
      <w:r w:rsidR="0093587E" w:rsidRPr="000B3905">
        <w:rPr>
          <w:u w:val="single"/>
        </w:rPr>
        <w:t xml:space="preserve">onstruction </w:t>
      </w:r>
      <w:r w:rsidR="00A4315D">
        <w:rPr>
          <w:u w:val="single"/>
        </w:rPr>
        <w:t>D</w:t>
      </w:r>
      <w:r w:rsidR="0093587E" w:rsidRPr="000B3905">
        <w:rPr>
          <w:u w:val="single"/>
        </w:rPr>
        <w:t xml:space="preserve">elays </w:t>
      </w:r>
    </w:p>
    <w:p w14:paraId="5E39B26E" w14:textId="77777777" w:rsidR="00386142" w:rsidRDefault="008F71F3" w:rsidP="007B25E9">
      <w:r>
        <w:t xml:space="preserve">The </w:t>
      </w:r>
      <w:r w:rsidR="00386142">
        <w:t>PSC approved two projects (per Order No. 88192 of May 11, 2017), each with an “approved OREC price schedule [that] shall not exceed a levelized OREC price of $131.93 (2012$), using a price escalator of 1.0%.</w:t>
      </w:r>
      <w:r w:rsidR="002E1026">
        <w:t>”</w:t>
      </w:r>
      <w:r w:rsidR="00386142">
        <w:t xml:space="preserve">  This pricing structure allows the </w:t>
      </w:r>
      <w:r w:rsidR="001E38AC">
        <w:t xml:space="preserve">20-year </w:t>
      </w:r>
      <w:r w:rsidR="00386142">
        <w:t>OREC price</w:t>
      </w:r>
      <w:r w:rsidR="001E38AC">
        <w:t>s</w:t>
      </w:r>
      <w:r w:rsidR="00386142">
        <w:t xml:space="preserve"> to increase </w:t>
      </w:r>
      <w:r w:rsidR="001E38AC">
        <w:t>with each year of delay subject to the levelized price cap.</w:t>
      </w:r>
      <w:r w:rsidR="00386142">
        <w:t xml:space="preserve"> </w:t>
      </w:r>
    </w:p>
    <w:p w14:paraId="667F136E" w14:textId="77777777" w:rsidR="00E82225" w:rsidRDefault="001E38AC" w:rsidP="008F71F3">
      <w:pPr>
        <w:pStyle w:val="ListParagraph"/>
        <w:numPr>
          <w:ilvl w:val="0"/>
          <w:numId w:val="18"/>
        </w:numPr>
      </w:pPr>
      <w:r>
        <w:t xml:space="preserve">Was allowing the OREC price to increase </w:t>
      </w:r>
      <w:r w:rsidR="00E82225">
        <w:t xml:space="preserve">with delays, provided the levelized price is unchanged, </w:t>
      </w:r>
      <w:r>
        <w:t xml:space="preserve">a </w:t>
      </w:r>
      <w:r w:rsidR="00CE73E8">
        <w:t xml:space="preserve">good or bad </w:t>
      </w:r>
      <w:r>
        <w:t xml:space="preserve">idea?  </w:t>
      </w:r>
    </w:p>
    <w:p w14:paraId="34194B43" w14:textId="77777777" w:rsidR="00E82225" w:rsidRDefault="001E38AC" w:rsidP="008F71F3">
      <w:pPr>
        <w:pStyle w:val="ListParagraph"/>
        <w:numPr>
          <w:ilvl w:val="0"/>
          <w:numId w:val="18"/>
        </w:numPr>
      </w:pPr>
      <w:r>
        <w:t xml:space="preserve">Was </w:t>
      </w:r>
      <w:r w:rsidR="00E82225">
        <w:t xml:space="preserve">this </w:t>
      </w:r>
      <w:r w:rsidR="00A4315D">
        <w:t xml:space="preserve">OREC price </w:t>
      </w:r>
      <w:r w:rsidR="00013683">
        <w:t xml:space="preserve">adjustment </w:t>
      </w:r>
      <w:r w:rsidR="00A4315D">
        <w:t xml:space="preserve">mechanism </w:t>
      </w:r>
      <w:r>
        <w:t xml:space="preserve">appropriate in light of the state of the OSW industry at that time?  </w:t>
      </w:r>
    </w:p>
    <w:p w14:paraId="49691D2F" w14:textId="77777777" w:rsidR="001E38AC" w:rsidRDefault="001E38AC" w:rsidP="008F71F3">
      <w:pPr>
        <w:pStyle w:val="ListParagraph"/>
        <w:numPr>
          <w:ilvl w:val="0"/>
          <w:numId w:val="18"/>
        </w:numPr>
      </w:pPr>
      <w:r>
        <w:t xml:space="preserve">Should this </w:t>
      </w:r>
      <w:r w:rsidR="00A4315D">
        <w:t xml:space="preserve">OREC price </w:t>
      </w:r>
      <w:r w:rsidR="006D5935">
        <w:t xml:space="preserve">adjustment </w:t>
      </w:r>
      <w:r>
        <w:t>mechanism be adopted in future OSW procurements?</w:t>
      </w:r>
    </w:p>
    <w:p w14:paraId="609177BA" w14:textId="77777777" w:rsidR="008668C9" w:rsidRDefault="008668C9" w:rsidP="008668C9">
      <w:pPr>
        <w:pStyle w:val="ListParagraph"/>
      </w:pPr>
    </w:p>
    <w:p w14:paraId="47AB0ABD" w14:textId="77777777" w:rsidR="008668C9" w:rsidRPr="00A01CC2" w:rsidRDefault="0024748B" w:rsidP="008668C9">
      <w:pPr>
        <w:rPr>
          <w:u w:val="single"/>
        </w:rPr>
      </w:pPr>
      <w:r>
        <w:t>8</w:t>
      </w:r>
      <w:r w:rsidR="008F71F3">
        <w:t>.</w:t>
      </w:r>
      <w:r w:rsidR="008F71F3">
        <w:tab/>
      </w:r>
      <w:r w:rsidR="008668C9" w:rsidRPr="00A01CC2">
        <w:rPr>
          <w:u w:val="single"/>
        </w:rPr>
        <w:t>Payment Mechanism</w:t>
      </w:r>
      <w:r w:rsidR="008668C9">
        <w:rPr>
          <w:u w:val="single"/>
        </w:rPr>
        <w:t xml:space="preserve"> / Escrow Accounts</w:t>
      </w:r>
    </w:p>
    <w:p w14:paraId="07C7CB48" w14:textId="77777777" w:rsidR="008668C9" w:rsidRDefault="008668C9" w:rsidP="008668C9">
      <w:r>
        <w:t xml:space="preserve">In its OSW procurement regulations, the </w:t>
      </w:r>
      <w:r w:rsidR="0044004F">
        <w:t>PSC</w:t>
      </w:r>
      <w:r>
        <w:t xml:space="preserve"> established a payment mechanism in which escrow accounts would be established for each OSW project. The escrow accounts will be administered by a qualified financial institution, will track the delivery of ORECs, receive ratepayer payments from the State’s electric suppliers and energy and capacity revenues from PJM, and will make OREC payments to the OSW project.  The escrow accounts will also true-up OREC payments if the actual construction cost or the receipt of grants and tax credits are different than submitted.  The escrow account administrator will also administer reserve accounts and Generator Attribute Tracking System (“GATS”) accounts. </w:t>
      </w:r>
    </w:p>
    <w:p w14:paraId="16CE3BBC" w14:textId="77777777" w:rsidR="008668C9" w:rsidRDefault="008668C9" w:rsidP="008F71F3">
      <w:pPr>
        <w:pStyle w:val="ListParagraph"/>
        <w:numPr>
          <w:ilvl w:val="0"/>
          <w:numId w:val="19"/>
        </w:numPr>
      </w:pPr>
      <w:r>
        <w:t xml:space="preserve">Will these escrow accounts (and associated reserve and GATS accounts) fulfill their intended function? </w:t>
      </w:r>
    </w:p>
    <w:p w14:paraId="00D66614" w14:textId="77777777" w:rsidR="008668C9" w:rsidRDefault="008668C9" w:rsidP="008F71F3">
      <w:pPr>
        <w:pStyle w:val="ListParagraph"/>
        <w:numPr>
          <w:ilvl w:val="0"/>
          <w:numId w:val="19"/>
        </w:numPr>
      </w:pPr>
      <w:r>
        <w:t xml:space="preserve">How should </w:t>
      </w:r>
      <w:r w:rsidR="0044004F">
        <w:t xml:space="preserve">the accounts be </w:t>
      </w:r>
      <w:r>
        <w:t>changed?</w:t>
      </w:r>
    </w:p>
    <w:p w14:paraId="3C16CB62" w14:textId="77777777" w:rsidR="008668C9" w:rsidRDefault="008668C9" w:rsidP="0044004F">
      <w:pPr>
        <w:pStyle w:val="ListParagraph"/>
        <w:numPr>
          <w:ilvl w:val="0"/>
          <w:numId w:val="19"/>
        </w:numPr>
      </w:pPr>
      <w:r>
        <w:t xml:space="preserve">How should the </w:t>
      </w:r>
      <w:r w:rsidR="0044004F">
        <w:t>PSC</w:t>
      </w:r>
      <w:r>
        <w:t xml:space="preserve"> amend the regulations regarding the payment and transfer of ORECS, specifically the mechanics of payments into and out of the escrow accounts and the associa</w:t>
      </w:r>
      <w:r w:rsidR="0044004F">
        <w:t xml:space="preserve">ted reserve and GATS accounts </w:t>
      </w:r>
      <w:r>
        <w:t xml:space="preserve">within the limits </w:t>
      </w:r>
      <w:r w:rsidR="0044004F">
        <w:t>of the COMAR</w:t>
      </w:r>
      <w:r>
        <w:t xml:space="preserve"> </w:t>
      </w:r>
      <w:r w:rsidRPr="00CD5F85">
        <w:t>§ 7-704.2</w:t>
      </w:r>
      <w:r>
        <w:t>?</w:t>
      </w:r>
    </w:p>
    <w:p w14:paraId="51853855" w14:textId="77777777" w:rsidR="008668C9" w:rsidRDefault="008668C9" w:rsidP="008668C9"/>
    <w:p w14:paraId="7ECEEFFD" w14:textId="77777777" w:rsidR="008668C9" w:rsidRPr="003875AB" w:rsidRDefault="0024748B" w:rsidP="008668C9">
      <w:pPr>
        <w:rPr>
          <w:u w:val="single"/>
        </w:rPr>
      </w:pPr>
      <w:r>
        <w:t>9</w:t>
      </w:r>
      <w:r w:rsidR="0044004F">
        <w:t>.</w:t>
      </w:r>
      <w:r w:rsidR="0044004F">
        <w:tab/>
      </w:r>
      <w:r w:rsidR="008668C9" w:rsidRPr="003875AB">
        <w:rPr>
          <w:u w:val="single"/>
        </w:rPr>
        <w:t>Pre-Bid Meetings</w:t>
      </w:r>
    </w:p>
    <w:p w14:paraId="63D9B851" w14:textId="77777777" w:rsidR="008668C9" w:rsidRDefault="008668C9" w:rsidP="008668C9">
      <w:r>
        <w:t xml:space="preserve">The </w:t>
      </w:r>
      <w:r w:rsidR="0044004F">
        <w:t>PSC</w:t>
      </w:r>
      <w:r>
        <w:t xml:space="preserve"> held a series of meeting</w:t>
      </w:r>
      <w:r w:rsidR="003260DE">
        <w:t>s</w:t>
      </w:r>
      <w:r>
        <w:t xml:space="preserve"> for the Round 1 OSW procurement to </w:t>
      </w:r>
      <w:r w:rsidR="003260DE">
        <w:t xml:space="preserve">review the </w:t>
      </w:r>
      <w:r w:rsidR="00CF1707">
        <w:t xml:space="preserve">overall procurement schedule, application requirements, the quantitative and qualitative evaluation criteria, the OREC bid price form, and answer questions from potential bidders and other stakeholders. </w:t>
      </w:r>
    </w:p>
    <w:p w14:paraId="3280DB8F" w14:textId="77777777" w:rsidR="008668C9" w:rsidRDefault="008668C9" w:rsidP="0044004F">
      <w:pPr>
        <w:pStyle w:val="ListParagraph"/>
        <w:numPr>
          <w:ilvl w:val="0"/>
          <w:numId w:val="20"/>
        </w:numPr>
      </w:pPr>
      <w:r>
        <w:t>When and with what frequency should</w:t>
      </w:r>
      <w:r w:rsidR="0044004F">
        <w:t xml:space="preserve"> pre-bid meetings take place?  </w:t>
      </w:r>
    </w:p>
    <w:p w14:paraId="1473D884" w14:textId="77777777" w:rsidR="008668C9" w:rsidRDefault="0044004F" w:rsidP="0044004F">
      <w:pPr>
        <w:pStyle w:val="ListParagraph"/>
        <w:numPr>
          <w:ilvl w:val="0"/>
          <w:numId w:val="20"/>
        </w:numPr>
      </w:pPr>
      <w:r>
        <w:t>W</w:t>
      </w:r>
      <w:r w:rsidR="008668C9">
        <w:t>hat content should be covered by these meetings and how can they be of most use to all parties participating?</w:t>
      </w:r>
    </w:p>
    <w:p w14:paraId="3B45F215" w14:textId="77777777" w:rsidR="008668C9" w:rsidRDefault="008668C9" w:rsidP="008668C9"/>
    <w:p w14:paraId="0564D6F7" w14:textId="77777777" w:rsidR="008668C9" w:rsidRPr="00DD5C14" w:rsidRDefault="0024748B" w:rsidP="008668C9">
      <w:pPr>
        <w:rPr>
          <w:u w:val="single"/>
        </w:rPr>
      </w:pPr>
      <w:r>
        <w:t>10</w:t>
      </w:r>
      <w:r w:rsidR="0044004F" w:rsidRPr="0044004F">
        <w:t>.</w:t>
      </w:r>
      <w:r w:rsidR="0044004F" w:rsidRPr="0044004F">
        <w:tab/>
      </w:r>
      <w:r w:rsidR="008668C9" w:rsidRPr="00DD5C14">
        <w:rPr>
          <w:u w:val="single"/>
        </w:rPr>
        <w:t>Community Benefit Agreement</w:t>
      </w:r>
    </w:p>
    <w:p w14:paraId="08977236" w14:textId="77777777" w:rsidR="008668C9" w:rsidRDefault="004149F9" w:rsidP="008668C9">
      <w:r w:rsidRPr="004149F9">
        <w:t>The PSC’s Order No. 88192</w:t>
      </w:r>
      <w:r>
        <w:t xml:space="preserve"> </w:t>
      </w:r>
      <w:r w:rsidRPr="004149F9">
        <w:t>include</w:t>
      </w:r>
      <w:r>
        <w:t>d</w:t>
      </w:r>
      <w:r w:rsidRPr="004149F9">
        <w:t xml:space="preserve"> community benefit provisions in the List of Conditions for each project appended to the</w:t>
      </w:r>
      <w:r>
        <w:t xml:space="preserve"> Order. </w:t>
      </w:r>
      <w:r w:rsidR="008668C9">
        <w:t xml:space="preserve">Under the </w:t>
      </w:r>
      <w:r w:rsidR="0044004F">
        <w:t>CEJA</w:t>
      </w:r>
      <w:r w:rsidR="008668C9">
        <w:t xml:space="preserve">, a </w:t>
      </w:r>
      <w:r w:rsidR="00CF1707">
        <w:t xml:space="preserve">separate </w:t>
      </w:r>
      <w:r w:rsidR="008668C9">
        <w:t>community benefit agreement</w:t>
      </w:r>
      <w:r>
        <w:t xml:space="preserve"> is required that</w:t>
      </w:r>
      <w:r w:rsidR="008668C9">
        <w:t>:</w:t>
      </w:r>
    </w:p>
    <w:p w14:paraId="3505491A" w14:textId="77777777" w:rsidR="008668C9" w:rsidRDefault="008668C9" w:rsidP="008668C9">
      <w:pPr>
        <w:pStyle w:val="ListParagraph"/>
        <w:ind w:right="720"/>
        <w:jc w:val="both"/>
      </w:pPr>
      <w:r>
        <w:t xml:space="preserve">“1. promotes increased opportunities for local businesses and small, minority, women-owned, and veteran-owned businesses in the clean energy </w:t>
      </w:r>
      <w:proofErr w:type="gramStart"/>
      <w:r>
        <w:t>industry;</w:t>
      </w:r>
      <w:proofErr w:type="gramEnd"/>
    </w:p>
    <w:p w14:paraId="26D228DD" w14:textId="77777777" w:rsidR="008668C9" w:rsidRDefault="008668C9" w:rsidP="008668C9">
      <w:pPr>
        <w:pStyle w:val="ListParagraph"/>
        <w:ind w:right="720"/>
        <w:jc w:val="both"/>
      </w:pPr>
      <w:r>
        <w:t>2. ensures the timely, safe, and efficient completion of the project by facilitating a steady supply of highly skilled craft workers who shall be paid not less than the prevailing wage rate determined by the Commissioner of Labor and Industry under Title 17, Subtitle 2 of the State Finance and Procurement Article;</w:t>
      </w:r>
    </w:p>
    <w:p w14:paraId="67766586" w14:textId="77777777" w:rsidR="008668C9" w:rsidRDefault="008668C9" w:rsidP="008668C9">
      <w:pPr>
        <w:pStyle w:val="ListParagraph"/>
        <w:ind w:right="720"/>
        <w:jc w:val="both"/>
      </w:pPr>
      <w:r>
        <w:t xml:space="preserve">3. promotes safe completion of the project by ensuring that at least 80% of the craft workers on the project have completed an Occupational Safety and Health Administration 10-hour or 30-hour </w:t>
      </w:r>
      <w:proofErr w:type="gramStart"/>
      <w:r>
        <w:t>course;</w:t>
      </w:r>
      <w:proofErr w:type="gramEnd"/>
    </w:p>
    <w:p w14:paraId="4421AB35" w14:textId="77777777" w:rsidR="008668C9" w:rsidRDefault="008668C9" w:rsidP="008668C9">
      <w:pPr>
        <w:pStyle w:val="ListParagraph"/>
        <w:ind w:right="720"/>
        <w:jc w:val="both"/>
      </w:pPr>
      <w:r>
        <w:t>4. promotes career training opportunities in the construction industry for local residents, veterans, women, and minorities;</w:t>
      </w:r>
    </w:p>
    <w:p w14:paraId="5AB1EED0" w14:textId="77777777" w:rsidR="008668C9" w:rsidRDefault="008668C9" w:rsidP="008668C9">
      <w:pPr>
        <w:pStyle w:val="ListParagraph"/>
        <w:ind w:right="720"/>
        <w:jc w:val="both"/>
      </w:pPr>
      <w:r>
        <w:t>5. provides for best efforts and effective outreach to obtain, as a goal, the use of a workforce including minorities, to the extent practicable; and</w:t>
      </w:r>
    </w:p>
    <w:p w14:paraId="7723843D" w14:textId="77777777" w:rsidR="008668C9" w:rsidRPr="00F00773" w:rsidRDefault="008668C9" w:rsidP="008668C9">
      <w:pPr>
        <w:pStyle w:val="ListParagraph"/>
        <w:ind w:right="720"/>
        <w:jc w:val="both"/>
      </w:pPr>
      <w:r>
        <w:t>6. reflects a 21st-century labor-management approach based on cooperation, harmony, and partnership.”</w:t>
      </w:r>
      <w:r>
        <w:rPr>
          <w:rStyle w:val="FootnoteReference"/>
        </w:rPr>
        <w:footnoteReference w:id="1"/>
      </w:r>
    </w:p>
    <w:p w14:paraId="289520D5" w14:textId="77777777" w:rsidR="008668C9" w:rsidRDefault="008668C9" w:rsidP="008668C9">
      <w:pPr>
        <w:pStyle w:val="ListParagraph"/>
        <w:ind w:left="0"/>
      </w:pPr>
    </w:p>
    <w:p w14:paraId="7C194AD7" w14:textId="77777777" w:rsidR="008668C9" w:rsidRDefault="00FD58E7" w:rsidP="008668C9">
      <w:pPr>
        <w:pStyle w:val="ListParagraph"/>
        <w:ind w:left="0"/>
      </w:pPr>
      <w:r>
        <w:t>Staff</w:t>
      </w:r>
      <w:r w:rsidR="008668C9">
        <w:t xml:space="preserve"> seeks stakeholder input on what terms and conditions the community benefit agreement should contain to meet these statutory directives.  </w:t>
      </w:r>
    </w:p>
    <w:p w14:paraId="71591489" w14:textId="77777777" w:rsidR="008668C9" w:rsidRDefault="008668C9" w:rsidP="008668C9">
      <w:pPr>
        <w:pStyle w:val="ListParagraph"/>
        <w:ind w:left="0"/>
      </w:pPr>
    </w:p>
    <w:p w14:paraId="0175C47C" w14:textId="77777777" w:rsidR="008668C9" w:rsidRDefault="008668C9" w:rsidP="0044004F">
      <w:pPr>
        <w:pStyle w:val="ListParagraph"/>
        <w:numPr>
          <w:ilvl w:val="0"/>
          <w:numId w:val="22"/>
        </w:numPr>
      </w:pPr>
      <w:r>
        <w:t>What regulations should the Commission promulgate to ensure accountability and what penalties, if any, should be levied for non-compliance?</w:t>
      </w:r>
      <w:r w:rsidRPr="00313818">
        <w:t xml:space="preserve"> </w:t>
      </w:r>
    </w:p>
    <w:p w14:paraId="1DFF6E24" w14:textId="77777777" w:rsidR="008668C9" w:rsidRDefault="008668C9" w:rsidP="0044004F">
      <w:pPr>
        <w:pStyle w:val="ListParagraph"/>
        <w:numPr>
          <w:ilvl w:val="0"/>
          <w:numId w:val="22"/>
        </w:numPr>
      </w:pPr>
      <w:r>
        <w:t>How can the State best ensure that fair labor and just transition principles are incorporated into its program and procurements, to ensure the most benefit for workers and historically disadvantaged communities?</w:t>
      </w:r>
    </w:p>
    <w:p w14:paraId="6B310B2E" w14:textId="77777777" w:rsidR="008668C9" w:rsidRDefault="008668C9" w:rsidP="008668C9">
      <w:pPr>
        <w:pStyle w:val="ListParagraph"/>
      </w:pPr>
    </w:p>
    <w:p w14:paraId="5386E094" w14:textId="77777777" w:rsidR="008668C9" w:rsidRPr="00DD5C14" w:rsidRDefault="0024748B" w:rsidP="008668C9">
      <w:pPr>
        <w:rPr>
          <w:u w:val="single"/>
        </w:rPr>
      </w:pPr>
      <w:r>
        <w:lastRenderedPageBreak/>
        <w:t>11</w:t>
      </w:r>
      <w:r w:rsidR="0044004F" w:rsidRPr="0044004F">
        <w:t>.</w:t>
      </w:r>
      <w:r w:rsidR="0044004F" w:rsidRPr="0044004F">
        <w:tab/>
      </w:r>
      <w:r w:rsidR="008668C9" w:rsidRPr="00DD5C14">
        <w:rPr>
          <w:u w:val="single"/>
        </w:rPr>
        <w:t>PJM Market Rules</w:t>
      </w:r>
    </w:p>
    <w:p w14:paraId="78626F8B" w14:textId="77777777" w:rsidR="008668C9" w:rsidRDefault="008668C9" w:rsidP="008668C9">
      <w:r>
        <w:t xml:space="preserve">Any generation facility in the PJM market </w:t>
      </w:r>
      <w:r w:rsidR="0044004F">
        <w:t xml:space="preserve">that wants to sell energy or capacity resources into the wholesale markets </w:t>
      </w:r>
      <w:r>
        <w:t>must adhere to rules covering interconnection, pricing, operations, and other topics.  PJM has recently expanded its Minimum Offer Pricin</w:t>
      </w:r>
      <w:r w:rsidR="0044004F">
        <w:t>g Rules (“MOPR-ex”) that govern</w:t>
      </w:r>
      <w:r>
        <w:t xml:space="preserve"> the capacity bid price of new generation entrants; these MOPR-ex rules may be amended in the future.</w:t>
      </w:r>
    </w:p>
    <w:p w14:paraId="735E2945" w14:textId="77777777" w:rsidR="008668C9" w:rsidRDefault="008668C9" w:rsidP="0044004F">
      <w:pPr>
        <w:pStyle w:val="ListParagraph"/>
        <w:numPr>
          <w:ilvl w:val="0"/>
          <w:numId w:val="23"/>
        </w:numPr>
      </w:pPr>
      <w:r>
        <w:t xml:space="preserve">How should the </w:t>
      </w:r>
      <w:r w:rsidR="0044004F">
        <w:t>PSC</w:t>
      </w:r>
      <w:r>
        <w:t xml:space="preserve"> regulations best accommodate PJM’s wholesale market rules, including any MOPR-ex rules that may affect OSW participation in PJM’s capacity market?  </w:t>
      </w:r>
    </w:p>
    <w:p w14:paraId="7E622CFB" w14:textId="77777777" w:rsidR="008668C9" w:rsidRDefault="008668C9" w:rsidP="0044004F">
      <w:pPr>
        <w:pStyle w:val="ListParagraph"/>
        <w:numPr>
          <w:ilvl w:val="0"/>
          <w:numId w:val="23"/>
        </w:numPr>
      </w:pPr>
      <w:r>
        <w:t xml:space="preserve">How should net ratepayer impacts be evaluated given the uncertainty </w:t>
      </w:r>
    </w:p>
    <w:p w14:paraId="17648F33" w14:textId="77777777" w:rsidR="008668C9" w:rsidRDefault="008668C9" w:rsidP="0044004F">
      <w:pPr>
        <w:pStyle w:val="ListParagraph"/>
        <w:numPr>
          <w:ilvl w:val="0"/>
          <w:numId w:val="23"/>
        </w:numPr>
      </w:pPr>
      <w:r>
        <w:t>How do developers account for this risk in their bids?</w:t>
      </w:r>
    </w:p>
    <w:p w14:paraId="07D64E4E" w14:textId="77777777" w:rsidR="007B597C" w:rsidRDefault="007B597C" w:rsidP="007B597C"/>
    <w:p w14:paraId="4386B158" w14:textId="77777777" w:rsidR="007B597C" w:rsidRDefault="0024748B" w:rsidP="007B597C">
      <w:r>
        <w:t>12</w:t>
      </w:r>
      <w:r w:rsidR="007B597C">
        <w:t>.</w:t>
      </w:r>
      <w:r w:rsidR="007B597C">
        <w:tab/>
        <w:t>What other cons</w:t>
      </w:r>
      <w:r w:rsidR="00FD58E7">
        <w:t>iderations should the Staff</w:t>
      </w:r>
      <w:r w:rsidR="007B597C">
        <w:t xml:space="preserve"> take into account when</w:t>
      </w:r>
      <w:r w:rsidR="00FD58E7">
        <w:t xml:space="preserve"> proposing updates to the Maryland</w:t>
      </w:r>
      <w:r w:rsidR="007B597C">
        <w:t xml:space="preserve"> offshore wind program regulations, and proceeding to it next round of offshore wind procurement?</w:t>
      </w:r>
    </w:p>
    <w:p w14:paraId="214E60DA" w14:textId="77777777" w:rsidR="007B597C" w:rsidRDefault="007B597C" w:rsidP="007B597C"/>
    <w:p w14:paraId="56E6438A" w14:textId="77777777" w:rsidR="0093587E" w:rsidRDefault="0093587E" w:rsidP="0093587E"/>
    <w:p w14:paraId="5AB9F5C0" w14:textId="77777777" w:rsidR="0093587E" w:rsidRDefault="0093587E"/>
    <w:sectPr w:rsidR="0093587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F62494" w14:textId="77777777" w:rsidR="005D6C48" w:rsidRDefault="005D6C48" w:rsidP="007B25E9">
      <w:pPr>
        <w:spacing w:after="0" w:line="240" w:lineRule="auto"/>
      </w:pPr>
      <w:r>
        <w:separator/>
      </w:r>
    </w:p>
  </w:endnote>
  <w:endnote w:type="continuationSeparator" w:id="0">
    <w:p w14:paraId="683183D8" w14:textId="77777777" w:rsidR="005D6C48" w:rsidRDefault="005D6C48" w:rsidP="007B2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7089264"/>
      <w:docPartObj>
        <w:docPartGallery w:val="Page Numbers (Bottom of Page)"/>
        <w:docPartUnique/>
      </w:docPartObj>
    </w:sdtPr>
    <w:sdtEndPr>
      <w:rPr>
        <w:noProof/>
      </w:rPr>
    </w:sdtEndPr>
    <w:sdtContent>
      <w:p w14:paraId="2CB9DCC9" w14:textId="77777777" w:rsidR="00D13E45" w:rsidRDefault="00D13E45">
        <w:pPr>
          <w:pStyle w:val="Footer"/>
          <w:jc w:val="center"/>
        </w:pPr>
        <w:r>
          <w:fldChar w:fldCharType="begin"/>
        </w:r>
        <w:r>
          <w:instrText xml:space="preserve"> PAGE   \* MERGEFORMAT </w:instrText>
        </w:r>
        <w:r>
          <w:fldChar w:fldCharType="separate"/>
        </w:r>
        <w:r w:rsidR="0028798A">
          <w:rPr>
            <w:noProof/>
          </w:rPr>
          <w:t>6</w:t>
        </w:r>
        <w:r>
          <w:rPr>
            <w:noProof/>
          </w:rPr>
          <w:fldChar w:fldCharType="end"/>
        </w:r>
      </w:p>
    </w:sdtContent>
  </w:sdt>
  <w:p w14:paraId="7157CBFB" w14:textId="77777777" w:rsidR="00D13E45" w:rsidRDefault="00D13E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86C7CA" w14:textId="77777777" w:rsidR="005D6C48" w:rsidRDefault="005D6C48" w:rsidP="007B25E9">
      <w:pPr>
        <w:spacing w:after="0" w:line="240" w:lineRule="auto"/>
      </w:pPr>
      <w:r>
        <w:separator/>
      </w:r>
    </w:p>
  </w:footnote>
  <w:footnote w:type="continuationSeparator" w:id="0">
    <w:p w14:paraId="0466ACB9" w14:textId="77777777" w:rsidR="005D6C48" w:rsidRDefault="005D6C48" w:rsidP="007B25E9">
      <w:pPr>
        <w:spacing w:after="0" w:line="240" w:lineRule="auto"/>
      </w:pPr>
      <w:r>
        <w:continuationSeparator/>
      </w:r>
    </w:p>
  </w:footnote>
  <w:footnote w:id="1">
    <w:p w14:paraId="62125051" w14:textId="77777777" w:rsidR="008668C9" w:rsidRDefault="008668C9" w:rsidP="008668C9">
      <w:pPr>
        <w:pStyle w:val="FootnoteText"/>
      </w:pPr>
      <w:r>
        <w:rPr>
          <w:rStyle w:val="FootnoteReference"/>
        </w:rPr>
        <w:footnoteRef/>
      </w:r>
      <w:r>
        <w:t xml:space="preserve"> PUA §7-7-41.1(e)(i).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07855"/>
    <w:multiLevelType w:val="hybridMultilevel"/>
    <w:tmpl w:val="4044F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E2B8E"/>
    <w:multiLevelType w:val="hybridMultilevel"/>
    <w:tmpl w:val="5D68E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A5367"/>
    <w:multiLevelType w:val="hybridMultilevel"/>
    <w:tmpl w:val="BAFC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7C07B6"/>
    <w:multiLevelType w:val="hybridMultilevel"/>
    <w:tmpl w:val="E84C6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FC7684"/>
    <w:multiLevelType w:val="hybridMultilevel"/>
    <w:tmpl w:val="FC0A8F80"/>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5F52E0"/>
    <w:multiLevelType w:val="hybridMultilevel"/>
    <w:tmpl w:val="4E58D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AC1C8C"/>
    <w:multiLevelType w:val="hybridMultilevel"/>
    <w:tmpl w:val="A55E9B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3E05FB"/>
    <w:multiLevelType w:val="hybridMultilevel"/>
    <w:tmpl w:val="5F362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870C83"/>
    <w:multiLevelType w:val="hybridMultilevel"/>
    <w:tmpl w:val="56F435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B97FAD"/>
    <w:multiLevelType w:val="hybridMultilevel"/>
    <w:tmpl w:val="C1EAD6E8"/>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520E82"/>
    <w:multiLevelType w:val="hybridMultilevel"/>
    <w:tmpl w:val="866EB942"/>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7419E7"/>
    <w:multiLevelType w:val="hybridMultilevel"/>
    <w:tmpl w:val="F1D06C6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EE4C8A"/>
    <w:multiLevelType w:val="hybridMultilevel"/>
    <w:tmpl w:val="0630C04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5D00BA"/>
    <w:multiLevelType w:val="hybridMultilevel"/>
    <w:tmpl w:val="01009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4C47EF"/>
    <w:multiLevelType w:val="hybridMultilevel"/>
    <w:tmpl w:val="C7EAEB92"/>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520B3E"/>
    <w:multiLevelType w:val="hybridMultilevel"/>
    <w:tmpl w:val="FFAC0C90"/>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EC1EBB"/>
    <w:multiLevelType w:val="hybridMultilevel"/>
    <w:tmpl w:val="59600D9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066D83"/>
    <w:multiLevelType w:val="hybridMultilevel"/>
    <w:tmpl w:val="FD5A0A98"/>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6D0287"/>
    <w:multiLevelType w:val="hybridMultilevel"/>
    <w:tmpl w:val="4A76E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82664F"/>
    <w:multiLevelType w:val="hybridMultilevel"/>
    <w:tmpl w:val="7ABE6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1C703B"/>
    <w:multiLevelType w:val="hybridMultilevel"/>
    <w:tmpl w:val="A02E7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973B60"/>
    <w:multiLevelType w:val="hybridMultilevel"/>
    <w:tmpl w:val="392A8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846092"/>
    <w:multiLevelType w:val="hybridMultilevel"/>
    <w:tmpl w:val="1676F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357BE8"/>
    <w:multiLevelType w:val="hybridMultilevel"/>
    <w:tmpl w:val="82BAB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B51AF5"/>
    <w:multiLevelType w:val="hybridMultilevel"/>
    <w:tmpl w:val="BE52F4B4"/>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1"/>
  </w:num>
  <w:num w:numId="4">
    <w:abstractNumId w:val="13"/>
  </w:num>
  <w:num w:numId="5">
    <w:abstractNumId w:val="2"/>
  </w:num>
  <w:num w:numId="6">
    <w:abstractNumId w:val="22"/>
  </w:num>
  <w:num w:numId="7">
    <w:abstractNumId w:val="1"/>
  </w:num>
  <w:num w:numId="8">
    <w:abstractNumId w:val="7"/>
  </w:num>
  <w:num w:numId="9">
    <w:abstractNumId w:val="19"/>
  </w:num>
  <w:num w:numId="10">
    <w:abstractNumId w:val="0"/>
  </w:num>
  <w:num w:numId="11">
    <w:abstractNumId w:val="18"/>
  </w:num>
  <w:num w:numId="12">
    <w:abstractNumId w:val="20"/>
  </w:num>
  <w:num w:numId="13">
    <w:abstractNumId w:val="23"/>
  </w:num>
  <w:num w:numId="14">
    <w:abstractNumId w:val="6"/>
  </w:num>
  <w:num w:numId="15">
    <w:abstractNumId w:val="14"/>
  </w:num>
  <w:num w:numId="16">
    <w:abstractNumId w:val="9"/>
  </w:num>
  <w:num w:numId="17">
    <w:abstractNumId w:val="10"/>
  </w:num>
  <w:num w:numId="18">
    <w:abstractNumId w:val="17"/>
  </w:num>
  <w:num w:numId="19">
    <w:abstractNumId w:val="11"/>
  </w:num>
  <w:num w:numId="20">
    <w:abstractNumId w:val="12"/>
  </w:num>
  <w:num w:numId="21">
    <w:abstractNumId w:val="16"/>
  </w:num>
  <w:num w:numId="22">
    <w:abstractNumId w:val="24"/>
  </w:num>
  <w:num w:numId="23">
    <w:abstractNumId w:val="4"/>
  </w:num>
  <w:num w:numId="24">
    <w:abstractNumId w:val="8"/>
  </w:num>
  <w:num w:numId="25">
    <w:abstractNumId w:val="7"/>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87E"/>
    <w:rsid w:val="00013683"/>
    <w:rsid w:val="000B3905"/>
    <w:rsid w:val="000C1709"/>
    <w:rsid w:val="001309A1"/>
    <w:rsid w:val="00131BA1"/>
    <w:rsid w:val="001E0DB8"/>
    <w:rsid w:val="001E38AC"/>
    <w:rsid w:val="001F2049"/>
    <w:rsid w:val="0024748B"/>
    <w:rsid w:val="00251B5B"/>
    <w:rsid w:val="0028798A"/>
    <w:rsid w:val="00287F7F"/>
    <w:rsid w:val="002B37C8"/>
    <w:rsid w:val="002C11FA"/>
    <w:rsid w:val="002E1026"/>
    <w:rsid w:val="002E6D2B"/>
    <w:rsid w:val="003260DE"/>
    <w:rsid w:val="00326FA0"/>
    <w:rsid w:val="00386142"/>
    <w:rsid w:val="003950A8"/>
    <w:rsid w:val="003E3053"/>
    <w:rsid w:val="004112E0"/>
    <w:rsid w:val="004149F9"/>
    <w:rsid w:val="0041631F"/>
    <w:rsid w:val="004372CD"/>
    <w:rsid w:val="0044004F"/>
    <w:rsid w:val="004A4C52"/>
    <w:rsid w:val="004B7864"/>
    <w:rsid w:val="004C7AA5"/>
    <w:rsid w:val="00503C2C"/>
    <w:rsid w:val="00573CE0"/>
    <w:rsid w:val="00596EB0"/>
    <w:rsid w:val="005B6718"/>
    <w:rsid w:val="005D6C48"/>
    <w:rsid w:val="005E3664"/>
    <w:rsid w:val="00627FED"/>
    <w:rsid w:val="00642380"/>
    <w:rsid w:val="00642F7B"/>
    <w:rsid w:val="0066690E"/>
    <w:rsid w:val="00686789"/>
    <w:rsid w:val="0069005E"/>
    <w:rsid w:val="006D5935"/>
    <w:rsid w:val="006F6D02"/>
    <w:rsid w:val="00757FD4"/>
    <w:rsid w:val="00775DA0"/>
    <w:rsid w:val="007B25E9"/>
    <w:rsid w:val="007B597C"/>
    <w:rsid w:val="007C1C16"/>
    <w:rsid w:val="0080352D"/>
    <w:rsid w:val="008668C9"/>
    <w:rsid w:val="008726B4"/>
    <w:rsid w:val="00884D28"/>
    <w:rsid w:val="008C1DF0"/>
    <w:rsid w:val="008F71F3"/>
    <w:rsid w:val="0093159B"/>
    <w:rsid w:val="0093587E"/>
    <w:rsid w:val="009F7BED"/>
    <w:rsid w:val="009F7E7C"/>
    <w:rsid w:val="00A361A3"/>
    <w:rsid w:val="00A41DE9"/>
    <w:rsid w:val="00A4315D"/>
    <w:rsid w:val="00A56E91"/>
    <w:rsid w:val="00A6098B"/>
    <w:rsid w:val="00AA59BA"/>
    <w:rsid w:val="00B82075"/>
    <w:rsid w:val="00C64F89"/>
    <w:rsid w:val="00C835E9"/>
    <w:rsid w:val="00CC19E3"/>
    <w:rsid w:val="00CE73E8"/>
    <w:rsid w:val="00CF1707"/>
    <w:rsid w:val="00D13E45"/>
    <w:rsid w:val="00D1463D"/>
    <w:rsid w:val="00D50F1A"/>
    <w:rsid w:val="00D555CB"/>
    <w:rsid w:val="00D60421"/>
    <w:rsid w:val="00D75F32"/>
    <w:rsid w:val="00D91042"/>
    <w:rsid w:val="00E809E4"/>
    <w:rsid w:val="00E82225"/>
    <w:rsid w:val="00E82729"/>
    <w:rsid w:val="00E850E4"/>
    <w:rsid w:val="00E875FC"/>
    <w:rsid w:val="00EE6734"/>
    <w:rsid w:val="00F0593F"/>
    <w:rsid w:val="00FD58E7"/>
    <w:rsid w:val="00FF7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F9D30"/>
  <w15:docId w15:val="{9C594C09-8BC7-4428-AB5A-27F415F99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B25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25E9"/>
    <w:rPr>
      <w:sz w:val="20"/>
      <w:szCs w:val="20"/>
    </w:rPr>
  </w:style>
  <w:style w:type="character" w:styleId="FootnoteReference">
    <w:name w:val="footnote reference"/>
    <w:basedOn w:val="DefaultParagraphFont"/>
    <w:uiPriority w:val="99"/>
    <w:semiHidden/>
    <w:unhideWhenUsed/>
    <w:rsid w:val="007B25E9"/>
    <w:rPr>
      <w:vertAlign w:val="superscript"/>
    </w:rPr>
  </w:style>
  <w:style w:type="paragraph" w:styleId="ListParagraph">
    <w:name w:val="List Paragraph"/>
    <w:basedOn w:val="Normal"/>
    <w:uiPriority w:val="34"/>
    <w:qFormat/>
    <w:rsid w:val="000B3905"/>
    <w:pPr>
      <w:ind w:left="720"/>
      <w:contextualSpacing/>
    </w:pPr>
  </w:style>
  <w:style w:type="paragraph" w:styleId="BalloonText">
    <w:name w:val="Balloon Text"/>
    <w:basedOn w:val="Normal"/>
    <w:link w:val="BalloonTextChar"/>
    <w:uiPriority w:val="99"/>
    <w:semiHidden/>
    <w:unhideWhenUsed/>
    <w:rsid w:val="001E0DB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E0DB8"/>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9005E"/>
    <w:rPr>
      <w:sz w:val="16"/>
      <w:szCs w:val="16"/>
    </w:rPr>
  </w:style>
  <w:style w:type="paragraph" w:styleId="CommentText">
    <w:name w:val="annotation text"/>
    <w:basedOn w:val="Normal"/>
    <w:link w:val="CommentTextChar"/>
    <w:uiPriority w:val="99"/>
    <w:semiHidden/>
    <w:unhideWhenUsed/>
    <w:rsid w:val="0069005E"/>
    <w:pPr>
      <w:spacing w:line="240" w:lineRule="auto"/>
    </w:pPr>
    <w:rPr>
      <w:sz w:val="20"/>
      <w:szCs w:val="20"/>
    </w:rPr>
  </w:style>
  <w:style w:type="character" w:customStyle="1" w:styleId="CommentTextChar">
    <w:name w:val="Comment Text Char"/>
    <w:basedOn w:val="DefaultParagraphFont"/>
    <w:link w:val="CommentText"/>
    <w:uiPriority w:val="99"/>
    <w:semiHidden/>
    <w:rsid w:val="0069005E"/>
    <w:rPr>
      <w:sz w:val="20"/>
      <w:szCs w:val="20"/>
    </w:rPr>
  </w:style>
  <w:style w:type="paragraph" w:styleId="CommentSubject">
    <w:name w:val="annotation subject"/>
    <w:basedOn w:val="CommentText"/>
    <w:next w:val="CommentText"/>
    <w:link w:val="CommentSubjectChar"/>
    <w:uiPriority w:val="99"/>
    <w:semiHidden/>
    <w:unhideWhenUsed/>
    <w:rsid w:val="0069005E"/>
    <w:rPr>
      <w:b/>
      <w:bCs/>
    </w:rPr>
  </w:style>
  <w:style w:type="character" w:customStyle="1" w:styleId="CommentSubjectChar">
    <w:name w:val="Comment Subject Char"/>
    <w:basedOn w:val="CommentTextChar"/>
    <w:link w:val="CommentSubject"/>
    <w:uiPriority w:val="99"/>
    <w:semiHidden/>
    <w:rsid w:val="0069005E"/>
    <w:rPr>
      <w:b/>
      <w:bCs/>
      <w:sz w:val="20"/>
      <w:szCs w:val="20"/>
    </w:rPr>
  </w:style>
  <w:style w:type="paragraph" w:styleId="Header">
    <w:name w:val="header"/>
    <w:basedOn w:val="Normal"/>
    <w:link w:val="HeaderChar"/>
    <w:uiPriority w:val="99"/>
    <w:unhideWhenUsed/>
    <w:rsid w:val="00D13E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E45"/>
  </w:style>
  <w:style w:type="paragraph" w:styleId="Footer">
    <w:name w:val="footer"/>
    <w:basedOn w:val="Normal"/>
    <w:link w:val="FooterChar"/>
    <w:uiPriority w:val="99"/>
    <w:unhideWhenUsed/>
    <w:rsid w:val="00D13E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515419">
      <w:bodyDiv w:val="1"/>
      <w:marLeft w:val="0"/>
      <w:marRight w:val="0"/>
      <w:marTop w:val="0"/>
      <w:marBottom w:val="0"/>
      <w:divBdr>
        <w:top w:val="none" w:sz="0" w:space="0" w:color="auto"/>
        <w:left w:val="none" w:sz="0" w:space="0" w:color="auto"/>
        <w:bottom w:val="none" w:sz="0" w:space="0" w:color="auto"/>
        <w:right w:val="none" w:sz="0" w:space="0" w:color="auto"/>
      </w:divBdr>
    </w:div>
    <w:div w:id="166962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BDEFF-F005-4115-BBFE-62538351B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2127</Words>
  <Characters>12125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Seth Parker</dc:creator>
  <cp:lastModifiedBy>Kevin Mosier</cp:lastModifiedBy>
  <cp:revision>2</cp:revision>
  <dcterms:created xsi:type="dcterms:W3CDTF">2020-10-14T13:57:00Z</dcterms:created>
  <dcterms:modified xsi:type="dcterms:W3CDTF">2020-10-14T13:57:00Z</dcterms:modified>
</cp:coreProperties>
</file>