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5E69" w14:textId="77777777" w:rsidR="00267612" w:rsidRPr="00511067" w:rsidRDefault="00267612" w:rsidP="009259D2">
      <w:pPr>
        <w:spacing w:after="0" w:line="240" w:lineRule="auto"/>
        <w:ind w:firstLine="720"/>
        <w:jc w:val="center"/>
        <w:rPr>
          <w:rFonts w:ascii="Times New Roman" w:eastAsia="Times New Roman" w:hAnsi="Times New Roman" w:cs="Times New Roman"/>
          <w:b/>
          <w:sz w:val="32"/>
          <w:szCs w:val="32"/>
        </w:rPr>
      </w:pPr>
      <w:bookmarkStart w:id="0" w:name="_Hlk52540992"/>
      <w:r w:rsidRPr="00511067">
        <w:rPr>
          <w:rFonts w:ascii="Times New Roman" w:eastAsia="Times New Roman" w:hAnsi="Times New Roman" w:cs="Times New Roman"/>
          <w:b/>
          <w:sz w:val="32"/>
          <w:szCs w:val="32"/>
        </w:rPr>
        <w:t>LEVITAN &amp; ASSOCIATES, INC.</w:t>
      </w:r>
    </w:p>
    <w:p w14:paraId="29AD97F2" w14:textId="77777777" w:rsidR="00267612" w:rsidRPr="000C271A" w:rsidRDefault="00267612" w:rsidP="00267612">
      <w:pPr>
        <w:spacing w:after="0" w:line="240" w:lineRule="auto"/>
        <w:rPr>
          <w:rFonts w:ascii="Times New Roman" w:eastAsia="Times New Roman" w:hAnsi="Times New Roman" w:cs="Times New Roman"/>
          <w:b/>
          <w:sz w:val="24"/>
          <w:szCs w:val="24"/>
        </w:rPr>
      </w:pPr>
      <w:r w:rsidRPr="000C271A">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644FE04" wp14:editId="6FD19360">
                <wp:simplePos x="0" y="0"/>
                <wp:positionH relativeFrom="column">
                  <wp:posOffset>51435</wp:posOffset>
                </wp:positionH>
                <wp:positionV relativeFrom="paragraph">
                  <wp:posOffset>82550</wp:posOffset>
                </wp:positionV>
                <wp:extent cx="5829300" cy="0"/>
                <wp:effectExtent l="22860" t="25400" r="24765" b="222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F70F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5pt" to="46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I9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" strokeweight="3pt"/>
            </w:pict>
          </mc:Fallback>
        </mc:AlternateContent>
      </w:r>
    </w:p>
    <w:p w14:paraId="03AAE26E" w14:textId="77777777" w:rsidR="00A076F9" w:rsidRPr="006E2CA6" w:rsidRDefault="00267612" w:rsidP="0091780A">
      <w:pPr>
        <w:spacing w:after="0" w:line="240" w:lineRule="auto"/>
        <w:rPr>
          <w:rFonts w:eastAsia="Times New Roman" w:cstheme="minorHAnsi"/>
        </w:rPr>
      </w:pPr>
      <w:r w:rsidRPr="006E2CA6">
        <w:rPr>
          <w:rFonts w:eastAsia="Times New Roman" w:cstheme="minorHAnsi"/>
          <w:b/>
        </w:rPr>
        <w:t>To</w:t>
      </w:r>
      <w:r w:rsidRPr="006E2CA6">
        <w:rPr>
          <w:rFonts w:eastAsia="Times New Roman" w:cstheme="minorHAnsi"/>
        </w:rPr>
        <w:t>:</w:t>
      </w:r>
      <w:r w:rsidRPr="006E2CA6">
        <w:rPr>
          <w:rFonts w:eastAsia="Times New Roman" w:cstheme="minorHAnsi"/>
        </w:rPr>
        <w:tab/>
        <w:t>Leslie Romine</w:t>
      </w:r>
      <w:r w:rsidR="00A076F9" w:rsidRPr="006E2CA6">
        <w:rPr>
          <w:rFonts w:eastAsia="Times New Roman" w:cstheme="minorHAnsi"/>
        </w:rPr>
        <w:t xml:space="preserve"> </w:t>
      </w:r>
    </w:p>
    <w:p w14:paraId="6FC015FD" w14:textId="509DCB2B" w:rsidR="00267612" w:rsidRPr="006E2CA6" w:rsidRDefault="00A076F9" w:rsidP="006E2CA6">
      <w:pPr>
        <w:spacing w:after="0"/>
        <w:ind w:firstLine="720"/>
        <w:rPr>
          <w:rFonts w:eastAsia="Times New Roman" w:cstheme="minorHAnsi"/>
        </w:rPr>
      </w:pPr>
      <w:r w:rsidRPr="006E2CA6">
        <w:rPr>
          <w:rFonts w:eastAsia="Times New Roman" w:cstheme="minorHAnsi"/>
        </w:rPr>
        <w:t>Chief Staff Counsel, Maryland Public Service Commission</w:t>
      </w:r>
      <w:r w:rsidR="00511067" w:rsidRPr="006E2CA6">
        <w:rPr>
          <w:rFonts w:eastAsia="Times New Roman" w:cstheme="minorHAnsi"/>
        </w:rPr>
        <w:br/>
      </w:r>
      <w:r w:rsidR="00267612" w:rsidRPr="006E2CA6">
        <w:rPr>
          <w:rFonts w:eastAsia="Times New Roman" w:cstheme="minorHAnsi"/>
          <w:b/>
        </w:rPr>
        <w:t>From</w:t>
      </w:r>
      <w:r w:rsidR="00267612" w:rsidRPr="006E2CA6">
        <w:rPr>
          <w:rFonts w:eastAsia="Times New Roman" w:cstheme="minorHAnsi"/>
        </w:rPr>
        <w:t>:</w:t>
      </w:r>
      <w:r w:rsidR="00267612" w:rsidRPr="006E2CA6">
        <w:rPr>
          <w:rFonts w:eastAsia="Times New Roman" w:cstheme="minorHAnsi"/>
        </w:rPr>
        <w:tab/>
        <w:t>Seth Parker</w:t>
      </w:r>
    </w:p>
    <w:p w14:paraId="077F869C" w14:textId="4DC55751" w:rsidR="00E47D80" w:rsidRPr="00E809D7" w:rsidRDefault="00E47D80" w:rsidP="0091780A">
      <w:pPr>
        <w:spacing w:after="0"/>
        <w:rPr>
          <w:rFonts w:eastAsia="Times New Roman" w:cstheme="minorHAnsi"/>
        </w:rPr>
      </w:pPr>
      <w:r>
        <w:rPr>
          <w:rFonts w:eastAsia="Times New Roman" w:cstheme="minorHAnsi"/>
          <w:b/>
        </w:rPr>
        <w:t>Cc:</w:t>
      </w:r>
      <w:r>
        <w:rPr>
          <w:rFonts w:eastAsia="Times New Roman" w:cstheme="minorHAnsi"/>
          <w:b/>
        </w:rPr>
        <w:tab/>
      </w:r>
      <w:r w:rsidRPr="00E809D7">
        <w:rPr>
          <w:rFonts w:eastAsia="Times New Roman" w:cstheme="minorHAnsi"/>
        </w:rPr>
        <w:t>Noah Shaw</w:t>
      </w:r>
      <w:r w:rsidR="00DA6D4D">
        <w:rPr>
          <w:rFonts w:eastAsia="Times New Roman" w:cstheme="minorHAnsi"/>
        </w:rPr>
        <w:t xml:space="preserve">, </w:t>
      </w:r>
      <w:r w:rsidRPr="00E809D7">
        <w:rPr>
          <w:rFonts w:eastAsia="Times New Roman" w:cstheme="minorHAnsi"/>
        </w:rPr>
        <w:t>Peter Ross</w:t>
      </w:r>
    </w:p>
    <w:p w14:paraId="371882F2" w14:textId="50880C2F" w:rsidR="00267612" w:rsidRPr="006E2CA6" w:rsidRDefault="00267612" w:rsidP="0091780A">
      <w:pPr>
        <w:spacing w:after="0"/>
        <w:rPr>
          <w:rFonts w:eastAsia="Times New Roman" w:cstheme="minorHAnsi"/>
        </w:rPr>
      </w:pPr>
      <w:r w:rsidRPr="006E2CA6">
        <w:rPr>
          <w:rFonts w:eastAsia="Times New Roman" w:cstheme="minorHAnsi"/>
          <w:b/>
        </w:rPr>
        <w:t>Re</w:t>
      </w:r>
      <w:r w:rsidRPr="006E2CA6">
        <w:rPr>
          <w:rFonts w:eastAsia="Times New Roman" w:cstheme="minorHAnsi"/>
        </w:rPr>
        <w:t>:</w:t>
      </w:r>
      <w:r w:rsidRPr="006E2CA6">
        <w:rPr>
          <w:rFonts w:eastAsia="Times New Roman" w:cstheme="minorHAnsi"/>
        </w:rPr>
        <w:tab/>
        <w:t>Maryland Offshore Wind Program Regulations – Net Rate Impact</w:t>
      </w:r>
      <w:r w:rsidR="00286F97" w:rsidRPr="006E2CA6">
        <w:rPr>
          <w:rFonts w:eastAsia="Times New Roman" w:cstheme="minorHAnsi"/>
        </w:rPr>
        <w:t>s</w:t>
      </w:r>
      <w:r w:rsidRPr="006E2CA6">
        <w:rPr>
          <w:rFonts w:eastAsia="Times New Roman" w:cstheme="minorHAnsi"/>
        </w:rPr>
        <w:t xml:space="preserve"> </w:t>
      </w:r>
    </w:p>
    <w:p w14:paraId="42645774" w14:textId="26B39126" w:rsidR="00267612" w:rsidRPr="006E2CA6" w:rsidRDefault="00267612" w:rsidP="0091780A">
      <w:pPr>
        <w:spacing w:after="0"/>
        <w:rPr>
          <w:rFonts w:eastAsia="Times New Roman" w:cstheme="minorHAnsi"/>
        </w:rPr>
      </w:pPr>
      <w:r w:rsidRPr="006E2CA6">
        <w:rPr>
          <w:rFonts w:eastAsia="Times New Roman" w:cstheme="minorHAnsi"/>
          <w:b/>
        </w:rPr>
        <w:t>Date</w:t>
      </w:r>
      <w:r w:rsidRPr="006E2CA6">
        <w:rPr>
          <w:rFonts w:eastAsia="Times New Roman" w:cstheme="minorHAnsi"/>
        </w:rPr>
        <w:t>:</w:t>
      </w:r>
      <w:r w:rsidRPr="006E2CA6">
        <w:rPr>
          <w:rFonts w:eastAsia="Times New Roman" w:cstheme="minorHAnsi"/>
        </w:rPr>
        <w:tab/>
        <w:t xml:space="preserve">October </w:t>
      </w:r>
      <w:r w:rsidR="00DA6D4D">
        <w:rPr>
          <w:rFonts w:eastAsia="Times New Roman" w:cstheme="minorHAnsi"/>
        </w:rPr>
        <w:t>15</w:t>
      </w:r>
      <w:r w:rsidRPr="006E2CA6">
        <w:rPr>
          <w:rFonts w:eastAsia="Times New Roman" w:cstheme="minorHAnsi"/>
        </w:rPr>
        <w:t xml:space="preserve">, 2020 </w:t>
      </w:r>
      <w:bookmarkEnd w:id="0"/>
      <w:r w:rsidRPr="006E2CA6">
        <w:rPr>
          <w:rFonts w:eastAsia="Times New Roman" w:cstheme="minorHAnsi"/>
        </w:rPr>
        <w:tab/>
      </w:r>
      <w:r w:rsidRPr="006E2CA6">
        <w:rPr>
          <w:rFonts w:eastAsia="Times New Roman" w:cstheme="minorHAnsi"/>
        </w:rPr>
        <w:tab/>
      </w:r>
      <w:r w:rsidRPr="006E2CA6">
        <w:rPr>
          <w:rFonts w:eastAsia="Times New Roman" w:cstheme="minorHAnsi"/>
        </w:rPr>
        <w:tab/>
      </w:r>
      <w:r w:rsidRPr="006E2CA6">
        <w:rPr>
          <w:rFonts w:eastAsia="Times New Roman" w:cstheme="minorHAnsi"/>
        </w:rPr>
        <w:tab/>
      </w:r>
      <w:r w:rsidRPr="006E2CA6">
        <w:rPr>
          <w:rFonts w:eastAsia="Times New Roman" w:cstheme="minorHAnsi"/>
          <w:b/>
        </w:rPr>
        <w:tab/>
      </w:r>
      <w:r w:rsidRPr="006E2CA6">
        <w:rPr>
          <w:rFonts w:eastAsia="Times New Roman" w:cstheme="minorHAnsi"/>
          <w:b/>
        </w:rPr>
        <w:tab/>
      </w:r>
    </w:p>
    <w:p w14:paraId="1E7BD94E" w14:textId="4DE3C3F0" w:rsidR="00267612" w:rsidRPr="006E2CA6" w:rsidRDefault="00267612" w:rsidP="0091780A">
      <w:pPr>
        <w:rPr>
          <w:rFonts w:cstheme="minorHAnsi"/>
          <w:b/>
          <w:bCs/>
        </w:rPr>
      </w:pPr>
    </w:p>
    <w:p w14:paraId="0112298E" w14:textId="21C01A7B" w:rsidR="00F22E21" w:rsidRPr="006E2CA6" w:rsidRDefault="00F22E21" w:rsidP="00F22E21">
      <w:pPr>
        <w:pStyle w:val="Heading1"/>
        <w:rPr>
          <w:rFonts w:asciiTheme="minorHAnsi" w:hAnsiTheme="minorHAnsi" w:cstheme="minorHAnsi"/>
          <w:b/>
          <w:sz w:val="22"/>
          <w:szCs w:val="22"/>
        </w:rPr>
      </w:pPr>
      <w:r w:rsidRPr="006E2CA6">
        <w:rPr>
          <w:rFonts w:asciiTheme="minorHAnsi" w:hAnsiTheme="minorHAnsi" w:cstheme="minorHAnsi"/>
          <w:b/>
          <w:sz w:val="22"/>
          <w:szCs w:val="22"/>
        </w:rPr>
        <w:t>Executive Summary</w:t>
      </w:r>
    </w:p>
    <w:p w14:paraId="37BA1A19" w14:textId="4705E02B" w:rsidR="00F22E21" w:rsidRPr="006E2CA6" w:rsidRDefault="006D232B" w:rsidP="00F22E21">
      <w:pPr>
        <w:rPr>
          <w:rFonts w:cstheme="minorHAnsi"/>
        </w:rPr>
      </w:pPr>
      <w:r w:rsidRPr="006E2CA6">
        <w:rPr>
          <w:rFonts w:cstheme="minorHAnsi"/>
        </w:rPr>
        <w:br/>
      </w:r>
      <w:r w:rsidRPr="006E2CA6">
        <w:rPr>
          <w:rFonts w:cstheme="minorHAnsi"/>
        </w:rPr>
        <w:tab/>
      </w:r>
      <w:bookmarkStart w:id="1" w:name="_Hlk53569355"/>
      <w:r w:rsidR="00F22E21" w:rsidRPr="006E2CA6">
        <w:rPr>
          <w:rFonts w:cstheme="minorHAnsi"/>
        </w:rPr>
        <w:t xml:space="preserve">This memorandum discusses </w:t>
      </w:r>
      <w:r w:rsidR="008042FD" w:rsidRPr="006E2CA6">
        <w:rPr>
          <w:rFonts w:cstheme="minorHAnsi"/>
        </w:rPr>
        <w:t xml:space="preserve">the </w:t>
      </w:r>
      <w:r w:rsidR="00F22E21" w:rsidRPr="006E2CA6">
        <w:rPr>
          <w:rFonts w:cstheme="minorHAnsi"/>
        </w:rPr>
        <w:t xml:space="preserve">net rate </w:t>
      </w:r>
      <w:r w:rsidR="007E3170" w:rsidRPr="006E2CA6">
        <w:rPr>
          <w:rFonts w:cstheme="minorHAnsi"/>
        </w:rPr>
        <w:t xml:space="preserve">impact </w:t>
      </w:r>
      <w:r w:rsidR="00F22E21" w:rsidRPr="006E2CA6">
        <w:rPr>
          <w:rFonts w:cstheme="minorHAnsi"/>
        </w:rPr>
        <w:t xml:space="preserve">limits that the </w:t>
      </w:r>
      <w:r w:rsidR="008042FD" w:rsidRPr="006E2CA6">
        <w:rPr>
          <w:rFonts w:cstheme="minorHAnsi"/>
        </w:rPr>
        <w:t>Clean Energy Jobs Act of 2019 (</w:t>
      </w:r>
      <w:r w:rsidR="00F22E21" w:rsidRPr="006E2CA6">
        <w:rPr>
          <w:rFonts w:cstheme="minorHAnsi"/>
        </w:rPr>
        <w:t>CEJA</w:t>
      </w:r>
      <w:r w:rsidR="008042FD" w:rsidRPr="006E2CA6">
        <w:rPr>
          <w:rFonts w:cstheme="minorHAnsi"/>
        </w:rPr>
        <w:t>)</w:t>
      </w:r>
      <w:r w:rsidR="00F22E21" w:rsidRPr="006E2CA6">
        <w:rPr>
          <w:rFonts w:cstheme="minorHAnsi"/>
        </w:rPr>
        <w:t xml:space="preserve"> places on Round 2 offshore wind </w:t>
      </w:r>
      <w:r w:rsidR="00F66FE9" w:rsidRPr="006E2CA6">
        <w:rPr>
          <w:rFonts w:cstheme="minorHAnsi"/>
        </w:rPr>
        <w:t xml:space="preserve">(OSW) </w:t>
      </w:r>
      <w:r w:rsidR="00F22E21" w:rsidRPr="006E2CA6">
        <w:rPr>
          <w:rFonts w:cstheme="minorHAnsi"/>
        </w:rPr>
        <w:t xml:space="preserve">projects, the </w:t>
      </w:r>
      <w:r w:rsidR="006E2CA6">
        <w:rPr>
          <w:rFonts w:cstheme="minorHAnsi"/>
        </w:rPr>
        <w:t xml:space="preserve">potential </w:t>
      </w:r>
      <w:r w:rsidRPr="006E2CA6">
        <w:rPr>
          <w:rFonts w:cstheme="minorHAnsi"/>
        </w:rPr>
        <w:t>negative effect these</w:t>
      </w:r>
      <w:r w:rsidR="00F22E21" w:rsidRPr="006E2CA6">
        <w:rPr>
          <w:rFonts w:cstheme="minorHAnsi"/>
        </w:rPr>
        <w:t xml:space="preserve"> limit</w:t>
      </w:r>
      <w:r w:rsidRPr="006E2CA6">
        <w:rPr>
          <w:rFonts w:cstheme="minorHAnsi"/>
        </w:rPr>
        <w:t>s</w:t>
      </w:r>
      <w:r w:rsidR="00F22E21" w:rsidRPr="006E2CA6">
        <w:rPr>
          <w:rFonts w:cstheme="minorHAnsi"/>
        </w:rPr>
        <w:t xml:space="preserve"> will have on Round 2 bids, and the regulatory steps the </w:t>
      </w:r>
      <w:r w:rsidRPr="006E2CA6">
        <w:rPr>
          <w:rFonts w:cstheme="minorHAnsi"/>
        </w:rPr>
        <w:t>Commission can</w:t>
      </w:r>
      <w:r w:rsidR="00F22E21" w:rsidRPr="006E2CA6">
        <w:rPr>
          <w:rFonts w:cstheme="minorHAnsi"/>
        </w:rPr>
        <w:t xml:space="preserve"> take to improve this process.  Because there is </w:t>
      </w:r>
      <w:r w:rsidRPr="006E2CA6">
        <w:rPr>
          <w:rFonts w:cstheme="minorHAnsi"/>
        </w:rPr>
        <w:t>significant uncertainty as to</w:t>
      </w:r>
      <w:r w:rsidR="00F22E21" w:rsidRPr="006E2CA6">
        <w:rPr>
          <w:rFonts w:cstheme="minorHAnsi"/>
        </w:rPr>
        <w:t xml:space="preserve"> how the Commission will calculate the </w:t>
      </w:r>
      <w:r w:rsidR="00632837">
        <w:rPr>
          <w:rFonts w:cstheme="minorHAnsi"/>
        </w:rPr>
        <w:t xml:space="preserve">consequential impact component of the </w:t>
      </w:r>
      <w:r w:rsidR="00F22E21" w:rsidRPr="006E2CA6">
        <w:rPr>
          <w:rFonts w:cstheme="minorHAnsi"/>
        </w:rPr>
        <w:t xml:space="preserve">net rate impact, </w:t>
      </w:r>
      <w:r w:rsidR="00C17A4C" w:rsidRPr="006E2CA6">
        <w:rPr>
          <w:rFonts w:cstheme="minorHAnsi"/>
        </w:rPr>
        <w:t>there is a risk that developers will either submit bids that are disqualified because they unintentionally exceed the Commissio</w:t>
      </w:r>
      <w:r w:rsidR="00D356E2" w:rsidRPr="006E2CA6">
        <w:rPr>
          <w:rFonts w:cstheme="minorHAnsi"/>
        </w:rPr>
        <w:t>n-determined net rate impact</w:t>
      </w:r>
      <w:r w:rsidR="008042FD" w:rsidRPr="006E2CA6">
        <w:rPr>
          <w:rFonts w:cstheme="minorHAnsi"/>
        </w:rPr>
        <w:t xml:space="preserve"> or</w:t>
      </w:r>
      <w:r w:rsidR="008042FD" w:rsidRPr="006E2CA6" w:rsidDel="008042FD">
        <w:rPr>
          <w:rFonts w:cstheme="minorHAnsi"/>
        </w:rPr>
        <w:t xml:space="preserve"> </w:t>
      </w:r>
      <w:r w:rsidR="00C17A4C" w:rsidRPr="006E2CA6">
        <w:rPr>
          <w:rFonts w:cstheme="minorHAnsi"/>
        </w:rPr>
        <w:t xml:space="preserve">submit </w:t>
      </w:r>
      <w:r w:rsidR="007E3170" w:rsidRPr="006E2CA6">
        <w:rPr>
          <w:rFonts w:cstheme="minorHAnsi"/>
        </w:rPr>
        <w:t xml:space="preserve">bids for </w:t>
      </w:r>
      <w:r w:rsidR="00C17A4C" w:rsidRPr="006E2CA6">
        <w:rPr>
          <w:rFonts w:cstheme="minorHAnsi"/>
        </w:rPr>
        <w:t xml:space="preserve">smaller projects with higher OREC prices in order to avoid disqualification.  </w:t>
      </w:r>
      <w:r w:rsidRPr="006E2CA6">
        <w:rPr>
          <w:rFonts w:cstheme="minorHAnsi"/>
        </w:rPr>
        <w:t>To mitigate this risk</w:t>
      </w:r>
      <w:r w:rsidR="007E3170" w:rsidRPr="006E2CA6">
        <w:rPr>
          <w:rFonts w:cstheme="minorHAnsi"/>
        </w:rPr>
        <w:t xml:space="preserve">, the Commission could exercise its authority under the </w:t>
      </w:r>
      <w:r w:rsidR="008042FD" w:rsidRPr="006E2CA6">
        <w:rPr>
          <w:rFonts w:cstheme="minorHAnsi"/>
        </w:rPr>
        <w:t>Public Utilities Article (</w:t>
      </w:r>
      <w:r w:rsidR="007E3170" w:rsidRPr="006E2CA6">
        <w:rPr>
          <w:rFonts w:cstheme="minorHAnsi"/>
        </w:rPr>
        <w:t>PUA</w:t>
      </w:r>
      <w:r w:rsidR="008042FD" w:rsidRPr="006E2CA6">
        <w:rPr>
          <w:rFonts w:cstheme="minorHAnsi"/>
        </w:rPr>
        <w:t>)</w:t>
      </w:r>
      <w:r w:rsidR="007E3170" w:rsidRPr="006E2CA6">
        <w:rPr>
          <w:rFonts w:cstheme="minorHAnsi"/>
        </w:rPr>
        <w:t xml:space="preserve"> to issue a</w:t>
      </w:r>
      <w:r w:rsidR="00C17A4C" w:rsidRPr="006E2CA6">
        <w:rPr>
          <w:rFonts w:cstheme="minorHAnsi"/>
        </w:rPr>
        <w:t xml:space="preserve"> clear market signal </w:t>
      </w:r>
      <w:r w:rsidR="007E3170" w:rsidRPr="006E2CA6">
        <w:rPr>
          <w:rFonts w:cstheme="minorHAnsi"/>
        </w:rPr>
        <w:t xml:space="preserve">prior to the </w:t>
      </w:r>
      <w:r w:rsidR="00C90775" w:rsidRPr="006E2CA6">
        <w:rPr>
          <w:rFonts w:cstheme="minorHAnsi"/>
        </w:rPr>
        <w:t xml:space="preserve">Offshore Wind Renewable Energy Credit </w:t>
      </w:r>
      <w:r w:rsidR="00A039A6" w:rsidRPr="006E2CA6">
        <w:rPr>
          <w:rFonts w:cstheme="minorHAnsi"/>
        </w:rPr>
        <w:t>(</w:t>
      </w:r>
      <w:r w:rsidR="008042FD" w:rsidRPr="006E2CA6">
        <w:rPr>
          <w:rFonts w:cstheme="minorHAnsi"/>
        </w:rPr>
        <w:t>OREC</w:t>
      </w:r>
      <w:r w:rsidR="00A039A6" w:rsidRPr="006E2CA6">
        <w:rPr>
          <w:rFonts w:cstheme="minorHAnsi"/>
        </w:rPr>
        <w:t>)</w:t>
      </w:r>
      <w:r w:rsidR="008042FD" w:rsidRPr="006E2CA6">
        <w:rPr>
          <w:rFonts w:cstheme="minorHAnsi"/>
        </w:rPr>
        <w:t xml:space="preserve"> bid </w:t>
      </w:r>
      <w:r w:rsidR="007E3170" w:rsidRPr="006E2CA6">
        <w:rPr>
          <w:rFonts w:cstheme="minorHAnsi"/>
        </w:rPr>
        <w:t xml:space="preserve">submission deadline </w:t>
      </w:r>
      <w:r w:rsidR="00C17A4C" w:rsidRPr="006E2CA6">
        <w:rPr>
          <w:rFonts w:cstheme="minorHAnsi"/>
        </w:rPr>
        <w:t xml:space="preserve">as to how </w:t>
      </w:r>
      <w:r w:rsidR="007E3170" w:rsidRPr="006E2CA6">
        <w:rPr>
          <w:rFonts w:cstheme="minorHAnsi"/>
        </w:rPr>
        <w:t xml:space="preserve">it plans to </w:t>
      </w:r>
      <w:r w:rsidR="00C17A4C" w:rsidRPr="006E2CA6">
        <w:rPr>
          <w:rFonts w:cstheme="minorHAnsi"/>
        </w:rPr>
        <w:t xml:space="preserve">calculate the </w:t>
      </w:r>
      <w:r w:rsidR="006E2CA6">
        <w:rPr>
          <w:rFonts w:cstheme="minorHAnsi"/>
        </w:rPr>
        <w:t xml:space="preserve">consequential </w:t>
      </w:r>
      <w:r w:rsidR="00C17A4C" w:rsidRPr="006E2CA6">
        <w:rPr>
          <w:rFonts w:cstheme="minorHAnsi"/>
        </w:rPr>
        <w:t>impact</w:t>
      </w:r>
      <w:r w:rsidR="00632837">
        <w:rPr>
          <w:rFonts w:cstheme="minorHAnsi"/>
        </w:rPr>
        <w:t>s or even to provide a schedule of consequential impacts in advance</w:t>
      </w:r>
      <w:r w:rsidR="007E3170" w:rsidRPr="006E2CA6">
        <w:rPr>
          <w:rFonts w:cstheme="minorHAnsi"/>
        </w:rPr>
        <w:t xml:space="preserve">.  Improved clarity </w:t>
      </w:r>
      <w:r w:rsidR="00C17A4C" w:rsidRPr="006E2CA6">
        <w:rPr>
          <w:rFonts w:cstheme="minorHAnsi"/>
        </w:rPr>
        <w:t xml:space="preserve">could </w:t>
      </w:r>
      <w:r w:rsidR="007E3170" w:rsidRPr="006E2CA6">
        <w:rPr>
          <w:rFonts w:cstheme="minorHAnsi"/>
        </w:rPr>
        <w:t>allow developers to better</w:t>
      </w:r>
      <w:r w:rsidRPr="006E2CA6">
        <w:rPr>
          <w:rFonts w:cstheme="minorHAnsi"/>
        </w:rPr>
        <w:t xml:space="preserve"> account for the risk of disqualification due to exceeding net rate impact</w:t>
      </w:r>
      <w:r w:rsidR="00632837">
        <w:rPr>
          <w:rFonts w:cstheme="minorHAnsi"/>
        </w:rPr>
        <w:t xml:space="preserve"> limits</w:t>
      </w:r>
      <w:r w:rsidRPr="006E2CA6">
        <w:rPr>
          <w:rFonts w:cstheme="minorHAnsi"/>
        </w:rPr>
        <w:t xml:space="preserve">, </w:t>
      </w:r>
      <w:r w:rsidR="007E3170" w:rsidRPr="006E2CA6">
        <w:rPr>
          <w:rFonts w:cstheme="minorHAnsi"/>
        </w:rPr>
        <w:t xml:space="preserve">and </w:t>
      </w:r>
      <w:r w:rsidRPr="006E2CA6">
        <w:rPr>
          <w:rFonts w:cstheme="minorHAnsi"/>
        </w:rPr>
        <w:t xml:space="preserve">as a result, calibrate their bids to </w:t>
      </w:r>
      <w:r w:rsidR="007E3170" w:rsidRPr="006E2CA6">
        <w:rPr>
          <w:rFonts w:cstheme="minorHAnsi"/>
        </w:rPr>
        <w:t xml:space="preserve">propose </w:t>
      </w:r>
      <w:r w:rsidR="00C17A4C" w:rsidRPr="006E2CA6">
        <w:rPr>
          <w:rFonts w:cstheme="minorHAnsi"/>
        </w:rPr>
        <w:t>more competitive OREC pric</w:t>
      </w:r>
      <w:r w:rsidRPr="006E2CA6">
        <w:rPr>
          <w:rFonts w:cstheme="minorHAnsi"/>
        </w:rPr>
        <w:t>ing</w:t>
      </w:r>
      <w:r w:rsidR="007E3170" w:rsidRPr="006E2CA6">
        <w:rPr>
          <w:rFonts w:cstheme="minorHAnsi"/>
        </w:rPr>
        <w:t>.</w:t>
      </w:r>
      <w:bookmarkEnd w:id="1"/>
    </w:p>
    <w:p w14:paraId="104C48D9" w14:textId="6604541F" w:rsidR="00964BA8" w:rsidRPr="006E2CA6" w:rsidRDefault="00964BA8" w:rsidP="00DD52AE">
      <w:pPr>
        <w:pStyle w:val="Heading1"/>
        <w:rPr>
          <w:rFonts w:asciiTheme="minorHAnsi" w:hAnsiTheme="minorHAnsi" w:cstheme="minorHAnsi"/>
          <w:b/>
          <w:sz w:val="22"/>
          <w:szCs w:val="22"/>
        </w:rPr>
      </w:pPr>
      <w:r w:rsidRPr="006E2CA6">
        <w:rPr>
          <w:rFonts w:asciiTheme="minorHAnsi" w:hAnsiTheme="minorHAnsi" w:cstheme="minorHAnsi"/>
          <w:b/>
          <w:sz w:val="22"/>
          <w:szCs w:val="22"/>
        </w:rPr>
        <w:t>Background</w:t>
      </w:r>
    </w:p>
    <w:p w14:paraId="5993798F" w14:textId="0ACCDD04" w:rsidR="00247E22" w:rsidRPr="006E2CA6" w:rsidRDefault="00DD52AE" w:rsidP="00247E22">
      <w:pPr>
        <w:rPr>
          <w:rFonts w:cstheme="minorHAnsi"/>
        </w:rPr>
      </w:pPr>
      <w:r w:rsidRPr="006E2CA6">
        <w:rPr>
          <w:rFonts w:cstheme="minorHAnsi"/>
        </w:rPr>
        <w:br/>
      </w:r>
      <w:r w:rsidR="006D232B" w:rsidRPr="006E2CA6">
        <w:rPr>
          <w:rFonts w:cstheme="minorHAnsi"/>
        </w:rPr>
        <w:tab/>
      </w:r>
      <w:r w:rsidR="00247E22" w:rsidRPr="006E2CA6">
        <w:rPr>
          <w:rFonts w:cstheme="minorHAnsi"/>
        </w:rPr>
        <w:t xml:space="preserve">The Offshore Wind Energy Act </w:t>
      </w:r>
      <w:r w:rsidR="00964BA8" w:rsidRPr="006E2CA6">
        <w:rPr>
          <w:rFonts w:cstheme="minorHAnsi"/>
        </w:rPr>
        <w:t xml:space="preserve">of 2013 </w:t>
      </w:r>
      <w:r w:rsidR="00247E22" w:rsidRPr="006E2CA6">
        <w:rPr>
          <w:rFonts w:cstheme="minorHAnsi"/>
        </w:rPr>
        <w:t xml:space="preserve">(OWEA) </w:t>
      </w:r>
      <w:r w:rsidR="00045267" w:rsidRPr="006E2CA6">
        <w:rPr>
          <w:rFonts w:cstheme="minorHAnsi"/>
        </w:rPr>
        <w:t xml:space="preserve">amended the PUA for the </w:t>
      </w:r>
      <w:r w:rsidR="00511067" w:rsidRPr="006E2CA6">
        <w:rPr>
          <w:rFonts w:cstheme="minorHAnsi"/>
        </w:rPr>
        <w:t xml:space="preserve">Maryland Public Service </w:t>
      </w:r>
      <w:r w:rsidR="00045267" w:rsidRPr="006E2CA6">
        <w:rPr>
          <w:rFonts w:cstheme="minorHAnsi"/>
        </w:rPr>
        <w:t>Commission’s</w:t>
      </w:r>
      <w:r w:rsidR="00511067" w:rsidRPr="006E2CA6">
        <w:rPr>
          <w:rFonts w:cstheme="minorHAnsi"/>
        </w:rPr>
        <w:t xml:space="preserve"> (Commission)</w:t>
      </w:r>
      <w:r w:rsidR="00045267" w:rsidRPr="006E2CA6">
        <w:rPr>
          <w:rFonts w:cstheme="minorHAnsi"/>
        </w:rPr>
        <w:t xml:space="preserve"> Round </w:t>
      </w:r>
      <w:r w:rsidR="00511067" w:rsidRPr="006E2CA6">
        <w:rPr>
          <w:rFonts w:cstheme="minorHAnsi"/>
        </w:rPr>
        <w:t xml:space="preserve">1 offshore wind </w:t>
      </w:r>
      <w:r w:rsidR="00045267" w:rsidRPr="006E2CA6">
        <w:rPr>
          <w:rFonts w:cstheme="minorHAnsi"/>
        </w:rPr>
        <w:t xml:space="preserve">procurement. </w:t>
      </w:r>
      <w:r w:rsidR="00B20AE1" w:rsidRPr="006E2CA6">
        <w:rPr>
          <w:rFonts w:cstheme="minorHAnsi"/>
        </w:rPr>
        <w:t>Among other things, t</w:t>
      </w:r>
      <w:r w:rsidR="006B7FCA" w:rsidRPr="006E2CA6">
        <w:rPr>
          <w:rFonts w:cstheme="minorHAnsi"/>
        </w:rPr>
        <w:t xml:space="preserve">he </w:t>
      </w:r>
      <w:r w:rsidR="00045267" w:rsidRPr="006E2CA6">
        <w:rPr>
          <w:rFonts w:cstheme="minorHAnsi"/>
        </w:rPr>
        <w:t xml:space="preserve">OWEA </w:t>
      </w:r>
      <w:r w:rsidR="00964BA8" w:rsidRPr="006E2CA6">
        <w:rPr>
          <w:rFonts w:cstheme="minorHAnsi"/>
        </w:rPr>
        <w:t xml:space="preserve">established </w:t>
      </w:r>
      <w:r w:rsidR="00045267" w:rsidRPr="006E2CA6">
        <w:rPr>
          <w:rFonts w:cstheme="minorHAnsi"/>
        </w:rPr>
        <w:t xml:space="preserve">maximum </w:t>
      </w:r>
      <w:r w:rsidR="00964BA8" w:rsidRPr="006E2CA6">
        <w:rPr>
          <w:rFonts w:cstheme="minorHAnsi"/>
        </w:rPr>
        <w:t xml:space="preserve">net rate </w:t>
      </w:r>
      <w:r w:rsidR="00045267" w:rsidRPr="006E2CA6">
        <w:rPr>
          <w:rFonts w:cstheme="minorHAnsi"/>
        </w:rPr>
        <w:t xml:space="preserve">impacts </w:t>
      </w:r>
      <w:r w:rsidR="00964BA8" w:rsidRPr="006E2CA6">
        <w:rPr>
          <w:rFonts w:cstheme="minorHAnsi"/>
        </w:rPr>
        <w:t>for residential and non-residential customers</w:t>
      </w:r>
      <w:r w:rsidR="00045267" w:rsidRPr="006E2CA6">
        <w:rPr>
          <w:rFonts w:cstheme="minorHAnsi"/>
        </w:rPr>
        <w:t xml:space="preserve"> </w:t>
      </w:r>
      <w:r w:rsidR="00964BA8" w:rsidRPr="006E2CA6">
        <w:rPr>
          <w:rFonts w:cstheme="minorHAnsi"/>
        </w:rPr>
        <w:t>as follows:</w:t>
      </w:r>
    </w:p>
    <w:p w14:paraId="09AB3CCB" w14:textId="32509BDE" w:rsidR="00964BA8" w:rsidRPr="006E2CA6" w:rsidRDefault="00125683" w:rsidP="00045267">
      <w:pPr>
        <w:ind w:left="720" w:right="720"/>
        <w:jc w:val="both"/>
        <w:rPr>
          <w:rFonts w:cstheme="minorHAnsi"/>
        </w:rPr>
      </w:pPr>
      <w:r w:rsidRPr="006E2CA6">
        <w:rPr>
          <w:rFonts w:cstheme="minorHAnsi"/>
        </w:rPr>
        <w:t>A</w:t>
      </w:r>
      <w:r w:rsidR="00F22E21" w:rsidRPr="006E2CA6">
        <w:rPr>
          <w:rFonts w:cstheme="minorHAnsi"/>
        </w:rPr>
        <w:t>.</w:t>
      </w:r>
      <w:r w:rsidR="00964BA8" w:rsidRPr="006E2CA6">
        <w:rPr>
          <w:rFonts w:cstheme="minorHAnsi"/>
        </w:rPr>
        <w:t xml:space="preserve"> the projected net rate impact for an average residential customer, based on annual consumption of 12,000 kilowatt–hours, combined with the projected net rate impact of other qualified offshore wind projects, does not exceed $1.50 per month in 2012 dollars, over the duration of the proposed </w:t>
      </w:r>
      <w:r w:rsidR="00A27A39" w:rsidRPr="006E2CA6">
        <w:rPr>
          <w:rFonts w:cstheme="minorHAnsi"/>
        </w:rPr>
        <w:t>O</w:t>
      </w:r>
      <w:r w:rsidR="00964BA8" w:rsidRPr="006E2CA6">
        <w:rPr>
          <w:rFonts w:cstheme="minorHAnsi"/>
        </w:rPr>
        <w:t>REC pricing schedule;</w:t>
      </w:r>
    </w:p>
    <w:p w14:paraId="0947E30F" w14:textId="42FF847D" w:rsidR="00964BA8" w:rsidRPr="006E2CA6" w:rsidRDefault="00125683" w:rsidP="00045267">
      <w:pPr>
        <w:ind w:left="720" w:right="720"/>
        <w:jc w:val="both"/>
        <w:rPr>
          <w:rFonts w:cstheme="minorHAnsi"/>
        </w:rPr>
      </w:pPr>
      <w:r w:rsidRPr="006E2CA6">
        <w:rPr>
          <w:rFonts w:cstheme="minorHAnsi"/>
        </w:rPr>
        <w:t>B</w:t>
      </w:r>
      <w:r w:rsidR="00F22E21" w:rsidRPr="006E2CA6">
        <w:rPr>
          <w:rFonts w:cstheme="minorHAnsi"/>
        </w:rPr>
        <w:t>.</w:t>
      </w:r>
      <w:r w:rsidR="00964BA8" w:rsidRPr="006E2CA6">
        <w:rPr>
          <w:rFonts w:cstheme="minorHAnsi"/>
        </w:rPr>
        <w:t xml:space="preserve"> the projected net rate impact for all nonresidential customers considered as a blended average, combined with the projected net rate impact of other qualified offshore wind </w:t>
      </w:r>
      <w:r w:rsidR="00964BA8" w:rsidRPr="006E2CA6">
        <w:rPr>
          <w:rFonts w:cstheme="minorHAnsi"/>
        </w:rPr>
        <w:lastRenderedPageBreak/>
        <w:t xml:space="preserve">projects, does not exceed 1.5% of nonresidential customers’ total annual electric bills, over the duration of the proposed </w:t>
      </w:r>
      <w:r w:rsidR="00045267" w:rsidRPr="006E2CA6">
        <w:rPr>
          <w:rFonts w:cstheme="minorHAnsi"/>
        </w:rPr>
        <w:t xml:space="preserve">OREC </w:t>
      </w:r>
      <w:r w:rsidR="00511067" w:rsidRPr="006E2CA6">
        <w:rPr>
          <w:rFonts w:cstheme="minorHAnsi"/>
        </w:rPr>
        <w:t>pricing schedule[.]</w:t>
      </w:r>
      <w:r w:rsidR="00511067" w:rsidRPr="006E2CA6">
        <w:rPr>
          <w:rStyle w:val="FootnoteReference"/>
          <w:rFonts w:cstheme="minorHAnsi"/>
        </w:rPr>
        <w:footnoteReference w:id="1"/>
      </w:r>
      <w:r w:rsidR="00964BA8" w:rsidRPr="006E2CA6">
        <w:rPr>
          <w:rFonts w:cstheme="minorHAnsi"/>
        </w:rPr>
        <w:t xml:space="preserve"> </w:t>
      </w:r>
    </w:p>
    <w:p w14:paraId="60813B8B" w14:textId="36879393" w:rsidR="00964BA8" w:rsidRPr="006E2CA6" w:rsidRDefault="006D232B" w:rsidP="00125683">
      <w:pPr>
        <w:rPr>
          <w:rFonts w:cstheme="minorHAnsi"/>
        </w:rPr>
      </w:pPr>
      <w:r w:rsidRPr="006E2CA6">
        <w:rPr>
          <w:rFonts w:cstheme="minorHAnsi"/>
        </w:rPr>
        <w:tab/>
      </w:r>
      <w:r w:rsidR="00125683" w:rsidRPr="006E2CA6">
        <w:rPr>
          <w:rFonts w:cstheme="minorHAnsi"/>
        </w:rPr>
        <w:t xml:space="preserve">The </w:t>
      </w:r>
      <w:r w:rsidR="00045267" w:rsidRPr="006E2CA6">
        <w:rPr>
          <w:rFonts w:cstheme="minorHAnsi"/>
        </w:rPr>
        <w:t>OWEA also established an OREC price cap</w:t>
      </w:r>
      <w:r w:rsidR="008042FD" w:rsidRPr="006E2CA6">
        <w:rPr>
          <w:rFonts w:cstheme="minorHAnsi"/>
        </w:rPr>
        <w:t xml:space="preserve"> expressed in dollars per </w:t>
      </w:r>
      <w:r w:rsidR="00043BB9" w:rsidRPr="006E2CA6">
        <w:rPr>
          <w:rFonts w:cstheme="minorHAnsi"/>
        </w:rPr>
        <w:t>megawatt-hour (</w:t>
      </w:r>
      <w:r w:rsidR="008042FD" w:rsidRPr="006E2CA6">
        <w:rPr>
          <w:rFonts w:cstheme="minorHAnsi"/>
        </w:rPr>
        <w:t>MWh</w:t>
      </w:r>
      <w:r w:rsidR="00A039A6" w:rsidRPr="006E2CA6">
        <w:rPr>
          <w:rFonts w:cstheme="minorHAnsi"/>
        </w:rPr>
        <w:t>)</w:t>
      </w:r>
      <w:r w:rsidR="005C148F" w:rsidRPr="006E2CA6">
        <w:rPr>
          <w:rFonts w:cstheme="minorHAnsi"/>
        </w:rPr>
        <w:t>.  The Commission may not approve an applicant’s proposed Round 1 offshore wind project if “</w:t>
      </w:r>
      <w:r w:rsidR="00964BA8" w:rsidRPr="006E2CA6">
        <w:rPr>
          <w:rFonts w:cstheme="minorHAnsi"/>
        </w:rPr>
        <w:t xml:space="preserve">the price set in the </w:t>
      </w:r>
      <w:r w:rsidR="00045267" w:rsidRPr="006E2CA6">
        <w:rPr>
          <w:rFonts w:cstheme="minorHAnsi"/>
        </w:rPr>
        <w:t>proposed OREC price schedule does not exceed $190 per megawatt–hour in 2012 dollars.</w:t>
      </w:r>
      <w:r w:rsidR="005C148F" w:rsidRPr="006E2CA6">
        <w:rPr>
          <w:rFonts w:cstheme="minorHAnsi"/>
        </w:rPr>
        <w:t>”</w:t>
      </w:r>
      <w:r w:rsidR="00125683" w:rsidRPr="006E2CA6">
        <w:rPr>
          <w:rStyle w:val="FootnoteReference"/>
          <w:rFonts w:cstheme="minorHAnsi"/>
        </w:rPr>
        <w:footnoteReference w:id="2"/>
      </w:r>
    </w:p>
    <w:p w14:paraId="2CD39404" w14:textId="648197A7" w:rsidR="00CB720B" w:rsidRPr="006E2CA6" w:rsidRDefault="006D232B" w:rsidP="00CB720B">
      <w:pPr>
        <w:rPr>
          <w:rFonts w:cstheme="minorHAnsi"/>
        </w:rPr>
      </w:pPr>
      <w:r w:rsidRPr="006E2CA6">
        <w:rPr>
          <w:rFonts w:cstheme="minorHAnsi"/>
        </w:rPr>
        <w:tab/>
      </w:r>
      <w:r w:rsidR="00247E22" w:rsidRPr="006E2CA6">
        <w:rPr>
          <w:rFonts w:cstheme="minorHAnsi"/>
        </w:rPr>
        <w:t>The CEJA</w:t>
      </w:r>
      <w:r w:rsidR="006B7FCA" w:rsidRPr="006E2CA6">
        <w:rPr>
          <w:rFonts w:cstheme="minorHAnsi"/>
        </w:rPr>
        <w:t xml:space="preserve"> </w:t>
      </w:r>
      <w:r w:rsidR="005C148F" w:rsidRPr="006E2CA6">
        <w:rPr>
          <w:rFonts w:cstheme="minorHAnsi"/>
        </w:rPr>
        <w:t>sets</w:t>
      </w:r>
      <w:r w:rsidR="00045267" w:rsidRPr="006E2CA6">
        <w:rPr>
          <w:rFonts w:cstheme="minorHAnsi"/>
        </w:rPr>
        <w:t xml:space="preserve"> more stringent net rate impact limits for residential and non-residential customers</w:t>
      </w:r>
      <w:r w:rsidR="006B7FCA" w:rsidRPr="006E2CA6">
        <w:rPr>
          <w:rFonts w:cstheme="minorHAnsi"/>
        </w:rPr>
        <w:t xml:space="preserve">, but does not </w:t>
      </w:r>
      <w:r w:rsidR="00CB720B" w:rsidRPr="006E2CA6">
        <w:rPr>
          <w:rFonts w:cstheme="minorHAnsi"/>
        </w:rPr>
        <w:t xml:space="preserve">impose </w:t>
      </w:r>
      <w:r w:rsidR="00045267" w:rsidRPr="006E2CA6">
        <w:rPr>
          <w:rFonts w:cstheme="minorHAnsi"/>
        </w:rPr>
        <w:t>an OREC price cap.</w:t>
      </w:r>
      <w:r w:rsidR="00CB720B" w:rsidRPr="006E2CA6">
        <w:rPr>
          <w:rFonts w:cstheme="minorHAnsi"/>
        </w:rPr>
        <w:t xml:space="preserve"> </w:t>
      </w:r>
      <w:r w:rsidR="00F22E21" w:rsidRPr="006E2CA6">
        <w:rPr>
          <w:rFonts w:cstheme="minorHAnsi"/>
        </w:rPr>
        <w:t>T</w:t>
      </w:r>
      <w:r w:rsidR="008A4174" w:rsidRPr="006E2CA6">
        <w:rPr>
          <w:rFonts w:cstheme="minorHAnsi"/>
        </w:rPr>
        <w:t xml:space="preserve">he CEJA </w:t>
      </w:r>
      <w:r w:rsidR="00F22E21" w:rsidRPr="006E2CA6">
        <w:rPr>
          <w:rFonts w:cstheme="minorHAnsi"/>
        </w:rPr>
        <w:t xml:space="preserve">amended the PUA to set the following </w:t>
      </w:r>
      <w:r w:rsidR="008A4174" w:rsidRPr="006E2CA6">
        <w:rPr>
          <w:rFonts w:cstheme="minorHAnsi"/>
        </w:rPr>
        <w:t>net rate impact limits</w:t>
      </w:r>
      <w:r w:rsidR="00A039A6" w:rsidRPr="006E2CA6">
        <w:rPr>
          <w:rFonts w:cstheme="minorHAnsi"/>
        </w:rPr>
        <w:t xml:space="preserve"> for Round 2</w:t>
      </w:r>
      <w:r w:rsidR="008A4174" w:rsidRPr="006E2CA6">
        <w:rPr>
          <w:rFonts w:cstheme="minorHAnsi"/>
        </w:rPr>
        <w:t>:</w:t>
      </w:r>
    </w:p>
    <w:p w14:paraId="4BE217F9" w14:textId="77777777" w:rsidR="00CB720B" w:rsidRPr="006E2CA6" w:rsidRDefault="00CB720B" w:rsidP="00CB720B">
      <w:pPr>
        <w:ind w:left="720" w:right="720"/>
        <w:jc w:val="both"/>
        <w:rPr>
          <w:rFonts w:cstheme="minorHAnsi"/>
        </w:rPr>
      </w:pPr>
      <w:r w:rsidRPr="006E2CA6">
        <w:rPr>
          <w:rFonts w:cstheme="minorHAnsi"/>
        </w:rPr>
        <w:t xml:space="preserve">A. the projected incremental net rate impact for an average residential customer, based on annual consumption of 12 megawatt–hours, combined with the projected incremental net rate impact of other Round 2 offshore wind projects, does not exceed 88 cents per month in 2018 dollars, over the duration of the proposed OREC pricing schedule; and </w:t>
      </w:r>
    </w:p>
    <w:p w14:paraId="3BBE7FFA" w14:textId="3066EA2C" w:rsidR="00CB720B" w:rsidRPr="006E2CA6" w:rsidRDefault="00CB720B" w:rsidP="00CB720B">
      <w:pPr>
        <w:ind w:left="720" w:right="720"/>
        <w:jc w:val="both"/>
        <w:rPr>
          <w:rFonts w:cstheme="minorHAnsi"/>
        </w:rPr>
      </w:pPr>
      <w:r w:rsidRPr="006E2CA6">
        <w:rPr>
          <w:rFonts w:cstheme="minorHAnsi"/>
        </w:rPr>
        <w:t>B. the projected incremental net rate impact for all nonresidential customers considered as a blended average, combined with the projected net rate impact of other Round 2 offshore wind projects, does not exceed 0.9% of nonresidential customers’ total annual electric bills during any year of the proposed OREC pricing schedule</w:t>
      </w:r>
      <w:r w:rsidR="000C271A" w:rsidRPr="006E2CA6">
        <w:rPr>
          <w:rFonts w:cstheme="minorHAnsi"/>
        </w:rPr>
        <w:t>[.]</w:t>
      </w:r>
      <w:r w:rsidR="000C271A" w:rsidRPr="006E2CA6">
        <w:rPr>
          <w:rStyle w:val="FootnoteReference"/>
          <w:rFonts w:cstheme="minorHAnsi"/>
        </w:rPr>
        <w:footnoteReference w:id="3"/>
      </w:r>
      <w:r w:rsidRPr="006E2CA6">
        <w:rPr>
          <w:rFonts w:cstheme="minorHAnsi"/>
        </w:rPr>
        <w:t xml:space="preserve"> </w:t>
      </w:r>
    </w:p>
    <w:p w14:paraId="16406F77" w14:textId="44849001" w:rsidR="00CB720B" w:rsidRPr="006E2CA6" w:rsidRDefault="00CB720B" w:rsidP="00247E22">
      <w:pPr>
        <w:pStyle w:val="Heading1"/>
        <w:rPr>
          <w:rFonts w:asciiTheme="minorHAnsi" w:hAnsiTheme="minorHAnsi" w:cstheme="minorHAnsi"/>
          <w:b/>
          <w:sz w:val="22"/>
          <w:szCs w:val="22"/>
        </w:rPr>
      </w:pPr>
      <w:r w:rsidRPr="006E2CA6">
        <w:rPr>
          <w:rFonts w:asciiTheme="minorHAnsi" w:hAnsiTheme="minorHAnsi" w:cstheme="minorHAnsi"/>
          <w:b/>
          <w:sz w:val="22"/>
          <w:szCs w:val="22"/>
        </w:rPr>
        <w:t>Analysis</w:t>
      </w:r>
    </w:p>
    <w:p w14:paraId="64024808" w14:textId="5AA3D1E9" w:rsidR="009D2601" w:rsidRPr="006E2CA6" w:rsidRDefault="00DD52AE" w:rsidP="00BE5F59">
      <w:pPr>
        <w:rPr>
          <w:rFonts w:cstheme="minorHAnsi"/>
        </w:rPr>
      </w:pPr>
      <w:r w:rsidRPr="006E2CA6">
        <w:rPr>
          <w:rFonts w:cstheme="minorHAnsi"/>
        </w:rPr>
        <w:br/>
      </w:r>
      <w:r w:rsidR="006D232B" w:rsidRPr="006E2CA6">
        <w:rPr>
          <w:rFonts w:cstheme="minorHAnsi"/>
        </w:rPr>
        <w:tab/>
      </w:r>
      <w:r w:rsidR="005423C3" w:rsidRPr="006E2CA6">
        <w:rPr>
          <w:rFonts w:cstheme="minorHAnsi"/>
        </w:rPr>
        <w:t xml:space="preserve">We are not aware of any other state that sets net rate impact limits for their OSW procurements. </w:t>
      </w:r>
      <w:r w:rsidR="009B280F" w:rsidRPr="006E2CA6">
        <w:rPr>
          <w:rFonts w:cstheme="minorHAnsi"/>
        </w:rPr>
        <w:t xml:space="preserve">Though </w:t>
      </w:r>
      <w:r w:rsidR="00BE5F59" w:rsidRPr="006E2CA6">
        <w:rPr>
          <w:rFonts w:cstheme="minorHAnsi"/>
        </w:rPr>
        <w:t>Maryland’s Round 2 OSW net rate impact</w:t>
      </w:r>
      <w:r w:rsidR="009E2C7B" w:rsidRPr="006E2CA6">
        <w:rPr>
          <w:rFonts w:cstheme="minorHAnsi"/>
        </w:rPr>
        <w:t xml:space="preserve"> limits</w:t>
      </w:r>
      <w:r w:rsidR="00BE5F59" w:rsidRPr="006E2CA6">
        <w:rPr>
          <w:rFonts w:cstheme="minorHAnsi"/>
        </w:rPr>
        <w:t xml:space="preserve"> under CEJA are materially more stringent tha</w:t>
      </w:r>
      <w:r w:rsidR="009E2C7B" w:rsidRPr="006E2CA6">
        <w:rPr>
          <w:rFonts w:cstheme="minorHAnsi"/>
        </w:rPr>
        <w:t xml:space="preserve">n for </w:t>
      </w:r>
      <w:r w:rsidR="00BE5F59" w:rsidRPr="006E2CA6">
        <w:rPr>
          <w:rFonts w:cstheme="minorHAnsi"/>
        </w:rPr>
        <w:t>Round 1</w:t>
      </w:r>
      <w:r w:rsidR="009B280F" w:rsidRPr="006E2CA6">
        <w:rPr>
          <w:rFonts w:cstheme="minorHAnsi"/>
        </w:rPr>
        <w:t xml:space="preserve">, it is the lack </w:t>
      </w:r>
      <w:r w:rsidR="008042FD" w:rsidRPr="006E2CA6">
        <w:rPr>
          <w:rFonts w:cstheme="minorHAnsi"/>
        </w:rPr>
        <w:t xml:space="preserve">of </w:t>
      </w:r>
      <w:r w:rsidR="009B280F" w:rsidRPr="006E2CA6">
        <w:rPr>
          <w:rFonts w:cstheme="minorHAnsi"/>
        </w:rPr>
        <w:t>clarity as to how the t</w:t>
      </w:r>
      <w:r w:rsidR="009D2601" w:rsidRPr="006E2CA6">
        <w:rPr>
          <w:rFonts w:cstheme="minorHAnsi"/>
        </w:rPr>
        <w:t xml:space="preserve">hese limits </w:t>
      </w:r>
      <w:r w:rsidR="008042FD" w:rsidRPr="006E2CA6">
        <w:rPr>
          <w:rFonts w:cstheme="minorHAnsi"/>
        </w:rPr>
        <w:t xml:space="preserve">will be </w:t>
      </w:r>
      <w:r w:rsidR="009D2601" w:rsidRPr="006E2CA6">
        <w:rPr>
          <w:rFonts w:cstheme="minorHAnsi"/>
        </w:rPr>
        <w:t>calculated rather than their level that poses the greatest risk to competitive bids.</w:t>
      </w:r>
      <w:r w:rsidR="009B280F" w:rsidRPr="006E2CA6">
        <w:rPr>
          <w:rFonts w:cstheme="minorHAnsi"/>
        </w:rPr>
        <w:t xml:space="preserve"> </w:t>
      </w:r>
      <w:r w:rsidR="00BE5F59" w:rsidRPr="006E2CA6">
        <w:rPr>
          <w:rFonts w:cstheme="minorHAnsi"/>
        </w:rPr>
        <w:t xml:space="preserve"> </w:t>
      </w:r>
      <w:r w:rsidR="00F66FE9" w:rsidRPr="006E2CA6">
        <w:rPr>
          <w:rFonts w:cstheme="minorHAnsi"/>
        </w:rPr>
        <w:t xml:space="preserve"> </w:t>
      </w:r>
    </w:p>
    <w:p w14:paraId="4A3102EA" w14:textId="554779B9" w:rsidR="005423C3" w:rsidRPr="005135EC" w:rsidRDefault="00F160FE" w:rsidP="005135EC">
      <w:pPr>
        <w:pStyle w:val="Heading2"/>
      </w:pPr>
      <w:r w:rsidRPr="005135EC">
        <w:t xml:space="preserve">The Net Rate Impact </w:t>
      </w:r>
      <w:r w:rsidR="00C90775" w:rsidRPr="005135EC">
        <w:t xml:space="preserve">Incorporates Consequential Impacts that Cannot Be Accurately </w:t>
      </w:r>
      <w:r w:rsidR="005135EC">
        <w:tab/>
      </w:r>
      <w:r w:rsidR="00C90775" w:rsidRPr="005135EC">
        <w:t xml:space="preserve">Calculated in Advance due to Variances in Input Assumptions and </w:t>
      </w:r>
      <w:r w:rsidR="005423C3" w:rsidRPr="005135EC">
        <w:t>Methodolog</w:t>
      </w:r>
      <w:r w:rsidR="00C90775" w:rsidRPr="005135EC">
        <w:t>y</w:t>
      </w:r>
      <w:r w:rsidR="005423C3" w:rsidRPr="005135EC">
        <w:t xml:space="preserve"> </w:t>
      </w:r>
    </w:p>
    <w:p w14:paraId="52687E9B" w14:textId="6E57F9E5" w:rsidR="005423C3" w:rsidRPr="006E2CA6" w:rsidRDefault="009D2601" w:rsidP="009D2601">
      <w:pPr>
        <w:rPr>
          <w:rFonts w:cstheme="minorHAnsi"/>
        </w:rPr>
      </w:pPr>
      <w:r w:rsidRPr="006E2CA6">
        <w:rPr>
          <w:rFonts w:cstheme="minorHAnsi"/>
        </w:rPr>
        <w:tab/>
        <w:t>The net rate impact is a product of three key factors: (</w:t>
      </w:r>
      <w:proofErr w:type="spellStart"/>
      <w:r w:rsidRPr="006E2CA6">
        <w:rPr>
          <w:rFonts w:cstheme="minorHAnsi"/>
        </w:rPr>
        <w:t>i</w:t>
      </w:r>
      <w:proofErr w:type="spellEnd"/>
      <w:r w:rsidRPr="006E2CA6">
        <w:rPr>
          <w:rFonts w:cstheme="minorHAnsi"/>
        </w:rPr>
        <w:t>) the OREC price in $/MWh, (ii) the OSW project size in MW</w:t>
      </w:r>
      <w:r w:rsidR="00440DD9" w:rsidRPr="006E2CA6">
        <w:rPr>
          <w:rFonts w:cstheme="minorHAnsi"/>
        </w:rPr>
        <w:t>s</w:t>
      </w:r>
      <w:r w:rsidRPr="006E2CA6">
        <w:rPr>
          <w:rFonts w:cstheme="minorHAnsi"/>
        </w:rPr>
        <w:t xml:space="preserve"> that determines the annual OREC quantity, and (iii) the “consequential impacts,” </w:t>
      </w:r>
      <w:r w:rsidRPr="006E2CA6">
        <w:rPr>
          <w:rFonts w:cstheme="minorHAnsi"/>
          <w:i/>
        </w:rPr>
        <w:t>i.e.</w:t>
      </w:r>
      <w:r w:rsidRPr="006E2CA6">
        <w:rPr>
          <w:rFonts w:cstheme="minorHAnsi"/>
        </w:rPr>
        <w:t xml:space="preserve"> lower PJM wholesale energy, capacity, and ancillary service prices. Consequential impacts offset the direct cost of the ORECs to Maryland ratepayers</w:t>
      </w:r>
      <w:r w:rsidR="00440DD9" w:rsidRPr="006E2CA6">
        <w:rPr>
          <w:rFonts w:cstheme="minorHAnsi"/>
        </w:rPr>
        <w:t>, but their calculation requires</w:t>
      </w:r>
      <w:r w:rsidR="005423C3" w:rsidRPr="006E2CA6">
        <w:rPr>
          <w:rFonts w:cstheme="minorHAnsi"/>
        </w:rPr>
        <w:t xml:space="preserve"> </w:t>
      </w:r>
      <w:r w:rsidR="00440DD9" w:rsidRPr="006E2CA6">
        <w:rPr>
          <w:rFonts w:cstheme="minorHAnsi"/>
        </w:rPr>
        <w:t>the Commission or the developer</w:t>
      </w:r>
      <w:r w:rsidR="005423C3" w:rsidRPr="006E2CA6">
        <w:rPr>
          <w:rFonts w:cstheme="minorHAnsi"/>
        </w:rPr>
        <w:t xml:space="preserve"> to make a significant number of judgment calls and assu</w:t>
      </w:r>
      <w:r w:rsidR="00BC1593" w:rsidRPr="006E2CA6">
        <w:rPr>
          <w:rFonts w:cstheme="minorHAnsi"/>
        </w:rPr>
        <w:t xml:space="preserve">mptions about market pricing and </w:t>
      </w:r>
      <w:r w:rsidR="00BC1593" w:rsidRPr="006E2CA6">
        <w:rPr>
          <w:rFonts w:cstheme="minorHAnsi"/>
        </w:rPr>
        <w:lastRenderedPageBreak/>
        <w:t>other variables</w:t>
      </w:r>
      <w:r w:rsidR="00037DE5" w:rsidRPr="006E2CA6">
        <w:rPr>
          <w:rFonts w:cstheme="minorHAnsi"/>
        </w:rPr>
        <w:t>. For example, e</w:t>
      </w:r>
      <w:r w:rsidR="00BC1593" w:rsidRPr="006E2CA6">
        <w:rPr>
          <w:rFonts w:cstheme="minorHAnsi"/>
        </w:rPr>
        <w:t xml:space="preserve">stimating the impact of an OSW project on PJM wholesale energy prices over the OREC purchase term of twenty years generally requires advanced analytical techniques, e.g., a chronological dispatch simulation model that takes the dynamic nature of the PJM power market into account.  </w:t>
      </w:r>
      <w:r w:rsidR="00D356E2" w:rsidRPr="006E2CA6">
        <w:rPr>
          <w:rFonts w:cstheme="minorHAnsi"/>
        </w:rPr>
        <w:t xml:space="preserve"> </w:t>
      </w:r>
    </w:p>
    <w:p w14:paraId="6E1853A4" w14:textId="2C5E48CD" w:rsidR="00661DAA" w:rsidRPr="006E2CA6" w:rsidRDefault="00661DAA" w:rsidP="009D2601">
      <w:pPr>
        <w:rPr>
          <w:rFonts w:cstheme="minorHAnsi"/>
        </w:rPr>
      </w:pPr>
      <w:r w:rsidRPr="006E2CA6">
        <w:rPr>
          <w:rFonts w:cstheme="minorHAnsi"/>
        </w:rPr>
        <w:tab/>
        <w:t xml:space="preserve">Even if a </w:t>
      </w:r>
      <w:r w:rsidR="00632837">
        <w:rPr>
          <w:rFonts w:cstheme="minorHAnsi"/>
        </w:rPr>
        <w:t xml:space="preserve">developer </w:t>
      </w:r>
      <w:r w:rsidRPr="006E2CA6">
        <w:rPr>
          <w:rFonts w:cstheme="minorHAnsi"/>
        </w:rPr>
        <w:t xml:space="preserve">hired a power market consultant to forecast reductions in wholesale power prices, the Commission’s consultant will be preparing its own independent forecast that almost certainly will differ from the </w:t>
      </w:r>
      <w:r w:rsidR="00632837">
        <w:rPr>
          <w:rFonts w:cstheme="minorHAnsi"/>
        </w:rPr>
        <w:t>developer</w:t>
      </w:r>
      <w:r w:rsidRPr="006E2CA6">
        <w:rPr>
          <w:rFonts w:cstheme="minorHAnsi"/>
        </w:rPr>
        <w:t xml:space="preserve">’s forecast. </w:t>
      </w:r>
      <w:r w:rsidR="00C90775" w:rsidRPr="006E2CA6">
        <w:rPr>
          <w:rFonts w:cstheme="minorHAnsi"/>
        </w:rPr>
        <w:t xml:space="preserve">Firstly, there will be </w:t>
      </w:r>
      <w:r w:rsidRPr="006E2CA6">
        <w:rPr>
          <w:rFonts w:cstheme="minorHAnsi"/>
        </w:rPr>
        <w:t>difference</w:t>
      </w:r>
      <w:r w:rsidR="00C90775" w:rsidRPr="006E2CA6">
        <w:rPr>
          <w:rFonts w:cstheme="minorHAnsi"/>
        </w:rPr>
        <w:t>s</w:t>
      </w:r>
      <w:r w:rsidRPr="006E2CA6">
        <w:rPr>
          <w:rFonts w:cstheme="minorHAnsi"/>
        </w:rPr>
        <w:t xml:space="preserve"> in key input assumptions</w:t>
      </w:r>
      <w:r w:rsidR="008042FD" w:rsidRPr="006E2CA6">
        <w:rPr>
          <w:rFonts w:cstheme="minorHAnsi"/>
        </w:rPr>
        <w:t>,</w:t>
      </w:r>
      <w:r w:rsidRPr="006E2CA6">
        <w:rPr>
          <w:rFonts w:cstheme="minorHAnsi"/>
        </w:rPr>
        <w:t xml:space="preserve"> e.g., load growth, generation additions / retirements, transmission topology, distributed energy resource development, electrification programs, renewable resource policies</w:t>
      </w:r>
      <w:r w:rsidR="00C90775" w:rsidRPr="006E2CA6">
        <w:rPr>
          <w:rFonts w:cstheme="minorHAnsi"/>
        </w:rPr>
        <w:t xml:space="preserve">, and market rules that will lead to different results. </w:t>
      </w:r>
      <w:r w:rsidRPr="006E2CA6">
        <w:rPr>
          <w:rFonts w:cstheme="minorHAnsi"/>
        </w:rPr>
        <w:t xml:space="preserve"> Even with </w:t>
      </w:r>
      <w:r w:rsidR="00C90775" w:rsidRPr="006E2CA6">
        <w:rPr>
          <w:rFonts w:cstheme="minorHAnsi"/>
        </w:rPr>
        <w:t xml:space="preserve">identical </w:t>
      </w:r>
      <w:r w:rsidRPr="006E2CA6">
        <w:rPr>
          <w:rFonts w:cstheme="minorHAnsi"/>
        </w:rPr>
        <w:t xml:space="preserve">input assumptions, different price forecasting models will produce different results.  </w:t>
      </w:r>
    </w:p>
    <w:p w14:paraId="5C376501" w14:textId="446391F8" w:rsidR="00661DAA" w:rsidRPr="00E809D7" w:rsidRDefault="00661DAA" w:rsidP="009D2601">
      <w:pPr>
        <w:rPr>
          <w:rFonts w:cstheme="minorHAnsi"/>
        </w:rPr>
      </w:pPr>
      <w:r w:rsidRPr="006E2CA6">
        <w:rPr>
          <w:rFonts w:cstheme="minorHAnsi"/>
        </w:rPr>
        <w:tab/>
        <w:t xml:space="preserve">In sum, because of this uncertainty, reasonable experts acting in good faith can come up with very different estimates for </w:t>
      </w:r>
      <w:r w:rsidRPr="00E809D7">
        <w:rPr>
          <w:rFonts w:cstheme="minorHAnsi"/>
        </w:rPr>
        <w:t xml:space="preserve">consequential </w:t>
      </w:r>
      <w:r w:rsidR="009A6561" w:rsidRPr="00E809D7">
        <w:rPr>
          <w:rFonts w:cstheme="minorHAnsi"/>
        </w:rPr>
        <w:t xml:space="preserve">wholesale </w:t>
      </w:r>
      <w:r w:rsidR="00C90775" w:rsidRPr="00E809D7">
        <w:rPr>
          <w:rFonts w:cstheme="minorHAnsi"/>
        </w:rPr>
        <w:t xml:space="preserve">power market </w:t>
      </w:r>
      <w:r w:rsidRPr="00E809D7">
        <w:rPr>
          <w:rFonts w:cstheme="minorHAnsi"/>
        </w:rPr>
        <w:t xml:space="preserve">impacts.  </w:t>
      </w:r>
    </w:p>
    <w:p w14:paraId="1FE5E6E9" w14:textId="6BE7FA90" w:rsidR="00696367" w:rsidRPr="00E809D7" w:rsidRDefault="00A039A6" w:rsidP="005135EC">
      <w:pPr>
        <w:pStyle w:val="Heading2"/>
      </w:pPr>
      <w:r w:rsidRPr="00E809D7">
        <w:t>Due to t</w:t>
      </w:r>
      <w:r w:rsidR="00D356E2" w:rsidRPr="00E809D7">
        <w:t xml:space="preserve">he Uncertainty </w:t>
      </w:r>
      <w:r w:rsidRPr="00E809D7">
        <w:t xml:space="preserve">of Consequential Impacts </w:t>
      </w:r>
      <w:r w:rsidR="00D356E2" w:rsidRPr="00E809D7">
        <w:t xml:space="preserve">and </w:t>
      </w:r>
      <w:r w:rsidRPr="00E809D7">
        <w:t xml:space="preserve">the </w:t>
      </w:r>
      <w:r w:rsidR="00D356E2" w:rsidRPr="00E809D7">
        <w:t>Risk of Disqualification</w:t>
      </w:r>
      <w:r w:rsidRPr="00E809D7">
        <w:t>,</w:t>
      </w:r>
      <w:r w:rsidR="00661DAA" w:rsidRPr="00E809D7">
        <w:t xml:space="preserve"> </w:t>
      </w:r>
      <w:r w:rsidR="00E809D7">
        <w:tab/>
      </w:r>
      <w:r w:rsidR="00696367" w:rsidRPr="00E809D7">
        <w:t xml:space="preserve">Developers </w:t>
      </w:r>
      <w:r w:rsidRPr="00E809D7">
        <w:t>L</w:t>
      </w:r>
      <w:r w:rsidR="00696367" w:rsidRPr="00E809D7">
        <w:t xml:space="preserve">ikely </w:t>
      </w:r>
      <w:r w:rsidRPr="00E809D7">
        <w:t>W</w:t>
      </w:r>
      <w:r w:rsidR="00696367" w:rsidRPr="00E809D7">
        <w:t xml:space="preserve">ill </w:t>
      </w:r>
      <w:r w:rsidRPr="00E809D7">
        <w:t xml:space="preserve">Reduce </w:t>
      </w:r>
      <w:r w:rsidR="00696367" w:rsidRPr="00E809D7">
        <w:t>the</w:t>
      </w:r>
      <w:r w:rsidRPr="00E809D7">
        <w:t>ir Project</w:t>
      </w:r>
      <w:r w:rsidR="00696367" w:rsidRPr="00E809D7">
        <w:t xml:space="preserve"> </w:t>
      </w:r>
      <w:r w:rsidRPr="00E809D7">
        <w:t>S</w:t>
      </w:r>
      <w:r w:rsidR="00696367" w:rsidRPr="00E809D7">
        <w:t>ize</w:t>
      </w:r>
      <w:r w:rsidRPr="00E809D7">
        <w:t>s</w:t>
      </w:r>
    </w:p>
    <w:p w14:paraId="4EA209E9" w14:textId="39286CEC" w:rsidR="00D356E2" w:rsidRPr="006E2CA6" w:rsidRDefault="00D356E2" w:rsidP="009D2601">
      <w:pPr>
        <w:rPr>
          <w:rFonts w:cstheme="minorHAnsi"/>
        </w:rPr>
      </w:pPr>
      <w:r w:rsidRPr="00E809D7">
        <w:rPr>
          <w:rFonts w:cstheme="minorHAnsi"/>
        </w:rPr>
        <w:tab/>
        <w:t>We cannot provide precise quantitativ</w:t>
      </w:r>
      <w:r w:rsidRPr="006E2CA6">
        <w:rPr>
          <w:rFonts w:cstheme="minorHAnsi"/>
        </w:rPr>
        <w:t xml:space="preserve">e estimates as to how the net rate impact limits will affect Maryland’s Round 2 procurement, but we believe the difficulty of estimating consequential wholesale power market impacts </w:t>
      </w:r>
      <w:r w:rsidR="00A039A6" w:rsidRPr="006E2CA6">
        <w:rPr>
          <w:rFonts w:cstheme="minorHAnsi"/>
        </w:rPr>
        <w:t xml:space="preserve">will </w:t>
      </w:r>
      <w:r w:rsidRPr="006E2CA6">
        <w:rPr>
          <w:rFonts w:cstheme="minorHAnsi"/>
        </w:rPr>
        <w:t xml:space="preserve">have </w:t>
      </w:r>
      <w:r w:rsidR="00A039A6" w:rsidRPr="006E2CA6">
        <w:rPr>
          <w:rFonts w:cstheme="minorHAnsi"/>
        </w:rPr>
        <w:t xml:space="preserve">two </w:t>
      </w:r>
      <w:r w:rsidRPr="006E2CA6">
        <w:rPr>
          <w:rFonts w:cstheme="minorHAnsi"/>
        </w:rPr>
        <w:t xml:space="preserve">principal effects: OSW </w:t>
      </w:r>
      <w:r w:rsidR="00632837">
        <w:rPr>
          <w:rFonts w:cstheme="minorHAnsi"/>
        </w:rPr>
        <w:t>developers</w:t>
      </w:r>
      <w:r w:rsidRPr="006E2CA6">
        <w:rPr>
          <w:rFonts w:cstheme="minorHAnsi"/>
        </w:rPr>
        <w:t xml:space="preserve"> may miscalculate the net rate impact of their projects resulting in disqualification</w:t>
      </w:r>
      <w:r w:rsidR="00A039A6" w:rsidRPr="006E2CA6">
        <w:rPr>
          <w:rFonts w:cstheme="minorHAnsi"/>
        </w:rPr>
        <w:t xml:space="preserve"> or</w:t>
      </w:r>
      <w:r w:rsidRPr="006E2CA6">
        <w:rPr>
          <w:rFonts w:cstheme="minorHAnsi"/>
        </w:rPr>
        <w:t xml:space="preserve"> submit bids for smaller projects in order to avoid disqualification</w:t>
      </w:r>
      <w:r w:rsidR="00A039A6" w:rsidRPr="006E2CA6">
        <w:rPr>
          <w:rFonts w:cstheme="minorHAnsi"/>
        </w:rPr>
        <w:t xml:space="preserve">.  At worst, </w:t>
      </w:r>
      <w:r w:rsidR="00632837">
        <w:rPr>
          <w:rFonts w:cstheme="minorHAnsi"/>
        </w:rPr>
        <w:t xml:space="preserve">developers </w:t>
      </w:r>
      <w:r w:rsidR="00A039A6" w:rsidRPr="006E2CA6">
        <w:rPr>
          <w:rFonts w:cstheme="minorHAnsi"/>
        </w:rPr>
        <w:t xml:space="preserve">may </w:t>
      </w:r>
      <w:r w:rsidRPr="006E2CA6">
        <w:rPr>
          <w:rFonts w:cstheme="minorHAnsi"/>
        </w:rPr>
        <w:t>refuse to submit bids altogether.</w:t>
      </w:r>
    </w:p>
    <w:p w14:paraId="3E720B6A" w14:textId="5981B8B2" w:rsidR="006B0A69" w:rsidRPr="006E2CA6" w:rsidRDefault="00D356E2" w:rsidP="009D2601">
      <w:pPr>
        <w:rPr>
          <w:rFonts w:cstheme="minorHAnsi"/>
        </w:rPr>
      </w:pPr>
      <w:r w:rsidRPr="006E2CA6">
        <w:rPr>
          <w:rFonts w:cstheme="minorHAnsi"/>
        </w:rPr>
        <w:tab/>
      </w:r>
      <w:r w:rsidR="00A039A6" w:rsidRPr="006E2CA6">
        <w:rPr>
          <w:rFonts w:cstheme="minorHAnsi"/>
        </w:rPr>
        <w:t>T</w:t>
      </w:r>
      <w:r w:rsidR="006B0A69" w:rsidRPr="006E2CA6">
        <w:rPr>
          <w:rFonts w:cstheme="minorHAnsi"/>
        </w:rPr>
        <w:t xml:space="preserve">he most direct, first order effect is that developers may have different assumptions or employ </w:t>
      </w:r>
      <w:r w:rsidR="00A039A6" w:rsidRPr="006E2CA6">
        <w:rPr>
          <w:rFonts w:cstheme="minorHAnsi"/>
        </w:rPr>
        <w:t xml:space="preserve">a </w:t>
      </w:r>
      <w:r w:rsidR="006B0A69" w:rsidRPr="006E2CA6">
        <w:rPr>
          <w:rFonts w:cstheme="minorHAnsi"/>
        </w:rPr>
        <w:t xml:space="preserve">different methodology in estimating the </w:t>
      </w:r>
      <w:r w:rsidR="00A039A6" w:rsidRPr="006E2CA6">
        <w:rPr>
          <w:rFonts w:cstheme="minorHAnsi"/>
        </w:rPr>
        <w:t xml:space="preserve">consequential </w:t>
      </w:r>
      <w:r w:rsidR="009A6561" w:rsidRPr="006E2CA6">
        <w:rPr>
          <w:rFonts w:cstheme="minorHAnsi"/>
        </w:rPr>
        <w:t xml:space="preserve">wholesale </w:t>
      </w:r>
      <w:r w:rsidR="00A039A6" w:rsidRPr="006E2CA6">
        <w:rPr>
          <w:rFonts w:cstheme="minorHAnsi"/>
        </w:rPr>
        <w:t xml:space="preserve">power market </w:t>
      </w:r>
      <w:r w:rsidR="006B0A69" w:rsidRPr="006E2CA6">
        <w:rPr>
          <w:rFonts w:cstheme="minorHAnsi"/>
        </w:rPr>
        <w:t>impact of their project.</w:t>
      </w:r>
      <w:r w:rsidR="00B978DE" w:rsidRPr="006E2CA6">
        <w:rPr>
          <w:rFonts w:cstheme="minorHAnsi"/>
        </w:rPr>
        <w:t xml:space="preserve">  As knowledgeable developers with experienced advisors, they will understand how a miscalculation could lead to project disqualification. </w:t>
      </w:r>
      <w:r w:rsidR="006B0A69" w:rsidRPr="006E2CA6">
        <w:rPr>
          <w:rFonts w:cstheme="minorHAnsi"/>
        </w:rPr>
        <w:t xml:space="preserve"> If the net rate impact </w:t>
      </w:r>
      <w:r w:rsidR="00B978DE" w:rsidRPr="006E2CA6">
        <w:rPr>
          <w:rFonts w:cstheme="minorHAnsi"/>
        </w:rPr>
        <w:t xml:space="preserve">ultimately calculated by the Commission </w:t>
      </w:r>
      <w:r w:rsidR="006B0A69" w:rsidRPr="006E2CA6">
        <w:rPr>
          <w:rFonts w:cstheme="minorHAnsi"/>
        </w:rPr>
        <w:t>is higher than that allowed by statute, the project will be ineligible.</w:t>
      </w:r>
      <w:r w:rsidR="006B0A69" w:rsidRPr="006E2CA6">
        <w:rPr>
          <w:rStyle w:val="FootnoteReference"/>
          <w:rFonts w:cstheme="minorHAnsi"/>
        </w:rPr>
        <w:footnoteReference w:id="4"/>
      </w:r>
      <w:r w:rsidR="006B0A69" w:rsidRPr="006E2CA6">
        <w:rPr>
          <w:rFonts w:cstheme="minorHAnsi"/>
        </w:rPr>
        <w:t xml:space="preserve"> </w:t>
      </w:r>
    </w:p>
    <w:p w14:paraId="1C57F90B" w14:textId="2CDA2C77" w:rsidR="00B978DE" w:rsidRPr="006E2CA6" w:rsidRDefault="006B0A69" w:rsidP="009D2601">
      <w:pPr>
        <w:rPr>
          <w:rFonts w:cstheme="minorHAnsi"/>
        </w:rPr>
      </w:pPr>
      <w:r w:rsidRPr="006E2CA6">
        <w:rPr>
          <w:rFonts w:cstheme="minorHAnsi"/>
        </w:rPr>
        <w:tab/>
      </w:r>
      <w:r w:rsidR="00B978DE" w:rsidRPr="006E2CA6">
        <w:rPr>
          <w:rFonts w:cstheme="minorHAnsi"/>
        </w:rPr>
        <w:t xml:space="preserve">The net rate impact increases for higher OREC prices and larger OREC quantities and decreases as consequential impacts grow.  It is thus possible for a project to have a higher OREC price, but nonetheless have a lower net rate impact due to </w:t>
      </w:r>
      <w:r w:rsidR="00BE725E" w:rsidRPr="006E2CA6">
        <w:rPr>
          <w:rFonts w:cstheme="minorHAnsi"/>
        </w:rPr>
        <w:t xml:space="preserve">its </w:t>
      </w:r>
      <w:r w:rsidR="00B978DE" w:rsidRPr="006E2CA6">
        <w:rPr>
          <w:rFonts w:cstheme="minorHAnsi"/>
        </w:rPr>
        <w:t>small size. The converse is also true: a project’s OREC price may be lower, but due to its larger size, it may have a higher impact on ratepayer utility bills.</w:t>
      </w:r>
    </w:p>
    <w:p w14:paraId="46287F81" w14:textId="3883394D" w:rsidR="009D2601" w:rsidRPr="00E809D7" w:rsidRDefault="00696367" w:rsidP="00BE725E">
      <w:pPr>
        <w:ind w:firstLine="720"/>
        <w:rPr>
          <w:rFonts w:cstheme="minorHAnsi"/>
        </w:rPr>
      </w:pPr>
      <w:r w:rsidRPr="006E2CA6">
        <w:rPr>
          <w:rFonts w:cstheme="minorHAnsi"/>
        </w:rPr>
        <w:t xml:space="preserve">Faced with the difficulty of predicting how the Commission will calculate the consequential impacts of their proposed OSW project, developers </w:t>
      </w:r>
      <w:r w:rsidR="00BE725E" w:rsidRPr="006E2CA6">
        <w:rPr>
          <w:rFonts w:cstheme="minorHAnsi"/>
        </w:rPr>
        <w:t xml:space="preserve">will </w:t>
      </w:r>
      <w:r w:rsidR="00B978DE" w:rsidRPr="006E2CA6">
        <w:rPr>
          <w:rFonts w:cstheme="minorHAnsi"/>
        </w:rPr>
        <w:t xml:space="preserve">likely </w:t>
      </w:r>
      <w:r w:rsidRPr="006E2CA6">
        <w:rPr>
          <w:rFonts w:cstheme="minorHAnsi"/>
        </w:rPr>
        <w:t xml:space="preserve">hedge </w:t>
      </w:r>
      <w:r w:rsidR="00B978DE" w:rsidRPr="006E2CA6">
        <w:rPr>
          <w:rFonts w:cstheme="minorHAnsi"/>
        </w:rPr>
        <w:t xml:space="preserve">their prospects </w:t>
      </w:r>
      <w:r w:rsidRPr="006E2CA6">
        <w:rPr>
          <w:rFonts w:cstheme="minorHAnsi"/>
        </w:rPr>
        <w:t xml:space="preserve">by </w:t>
      </w:r>
      <w:r w:rsidR="006B0A69" w:rsidRPr="006E2CA6">
        <w:rPr>
          <w:rFonts w:cstheme="minorHAnsi"/>
        </w:rPr>
        <w:t>submitting bids for smaller projects</w:t>
      </w:r>
      <w:r w:rsidR="00B978DE" w:rsidRPr="006E2CA6">
        <w:rPr>
          <w:rFonts w:cstheme="minorHAnsi"/>
        </w:rPr>
        <w:t xml:space="preserve"> </w:t>
      </w:r>
      <w:r w:rsidR="00BE725E" w:rsidRPr="006E2CA6">
        <w:rPr>
          <w:rFonts w:cstheme="minorHAnsi"/>
        </w:rPr>
        <w:t xml:space="preserve">with lower OREC quantities </w:t>
      </w:r>
      <w:r w:rsidR="00B978DE" w:rsidRPr="006E2CA6">
        <w:rPr>
          <w:rFonts w:cstheme="minorHAnsi"/>
        </w:rPr>
        <w:t xml:space="preserve">that </w:t>
      </w:r>
      <w:r w:rsidR="00BE725E" w:rsidRPr="006E2CA6">
        <w:rPr>
          <w:rFonts w:cstheme="minorHAnsi"/>
        </w:rPr>
        <w:t xml:space="preserve">provide an extra margin for the uncertainty of </w:t>
      </w:r>
      <w:r w:rsidR="00B978DE" w:rsidRPr="006E2CA6">
        <w:rPr>
          <w:rFonts w:cstheme="minorHAnsi"/>
        </w:rPr>
        <w:t>consequential impacts</w:t>
      </w:r>
      <w:r w:rsidR="00B978DE" w:rsidRPr="00E809D7">
        <w:rPr>
          <w:rFonts w:cstheme="minorHAnsi"/>
        </w:rPr>
        <w:t xml:space="preserve">.  Due to economies of scale, however, small projects generally would </w:t>
      </w:r>
      <w:r w:rsidR="006B0A69" w:rsidRPr="00E809D7">
        <w:rPr>
          <w:rFonts w:cstheme="minorHAnsi"/>
        </w:rPr>
        <w:t xml:space="preserve">have higher </w:t>
      </w:r>
      <w:r w:rsidR="006B0A69" w:rsidRPr="00E809D7">
        <w:rPr>
          <w:rFonts w:cstheme="minorHAnsi"/>
        </w:rPr>
        <w:lastRenderedPageBreak/>
        <w:t>$/MWh OREC price</w:t>
      </w:r>
      <w:r w:rsidR="00B978DE" w:rsidRPr="00E809D7">
        <w:rPr>
          <w:rFonts w:cstheme="minorHAnsi"/>
        </w:rPr>
        <w:t>s</w:t>
      </w:r>
      <w:r w:rsidR="00BE725E" w:rsidRPr="00E809D7">
        <w:rPr>
          <w:rFonts w:cstheme="minorHAnsi"/>
        </w:rPr>
        <w:t>, increasing the risk of disqualification and causing developers to further downsize their projects.  The ultimate result would be ratepayers paying unnecessarily high OREC costs.</w:t>
      </w:r>
    </w:p>
    <w:p w14:paraId="1B417FFD" w14:textId="52DC02A7" w:rsidR="00BE725E" w:rsidRPr="00E809D7" w:rsidRDefault="00DE21F5" w:rsidP="005135EC">
      <w:pPr>
        <w:pStyle w:val="Heading2"/>
      </w:pPr>
      <w:r w:rsidRPr="00E809D7">
        <w:t xml:space="preserve">Clear Net Rate Impact Limits at the Level Set by </w:t>
      </w:r>
      <w:r w:rsidR="00B14142" w:rsidRPr="00E809D7">
        <w:t xml:space="preserve">the PUA </w:t>
      </w:r>
      <w:r w:rsidR="00DA6D4D">
        <w:t>Sh</w:t>
      </w:r>
      <w:r w:rsidR="00E809D7" w:rsidRPr="00E809D7">
        <w:t xml:space="preserve">ould </w:t>
      </w:r>
      <w:r w:rsidR="00BB2BA7">
        <w:t>N</w:t>
      </w:r>
      <w:r w:rsidR="00E809D7" w:rsidRPr="00E809D7">
        <w:t xml:space="preserve">ot Significantly </w:t>
      </w:r>
      <w:r w:rsidR="00AF5A29" w:rsidRPr="00E809D7">
        <w:t xml:space="preserve">Impede </w:t>
      </w:r>
      <w:r w:rsidR="00E809D7" w:rsidRPr="00E809D7">
        <w:tab/>
      </w:r>
      <w:r w:rsidR="00AF5A29" w:rsidRPr="00E809D7">
        <w:t>Competitive Bid</w:t>
      </w:r>
      <w:r w:rsidR="00797A45" w:rsidRPr="00E809D7">
        <w:t>s</w:t>
      </w:r>
    </w:p>
    <w:p w14:paraId="4100F34F" w14:textId="10070E29" w:rsidR="009E2C7B" w:rsidRPr="006E2CA6" w:rsidRDefault="009D2601" w:rsidP="00BE5F59">
      <w:pPr>
        <w:rPr>
          <w:rFonts w:cstheme="minorHAnsi"/>
        </w:rPr>
      </w:pPr>
      <w:r w:rsidRPr="00E809D7">
        <w:rPr>
          <w:rFonts w:cstheme="minorHAnsi"/>
        </w:rPr>
        <w:tab/>
        <w:t xml:space="preserve">The </w:t>
      </w:r>
      <w:r w:rsidR="00AF5A29" w:rsidRPr="00E809D7">
        <w:rPr>
          <w:rFonts w:cstheme="minorHAnsi"/>
        </w:rPr>
        <w:t xml:space="preserve">net rate impact </w:t>
      </w:r>
      <w:r w:rsidR="00F66FE9" w:rsidRPr="00E809D7">
        <w:rPr>
          <w:rFonts w:cstheme="minorHAnsi"/>
        </w:rPr>
        <w:t>limits in and</w:t>
      </w:r>
      <w:r w:rsidR="00F66FE9" w:rsidRPr="006E2CA6">
        <w:rPr>
          <w:rFonts w:cstheme="minorHAnsi"/>
        </w:rPr>
        <w:t xml:space="preserve"> of themselves may not pose a significant obstacle to obtaining competitive OREC pricing</w:t>
      </w:r>
      <w:r w:rsidR="006A5F87" w:rsidRPr="006E2CA6">
        <w:rPr>
          <w:rFonts w:cstheme="minorHAnsi"/>
        </w:rPr>
        <w:t xml:space="preserve"> as the OSW </w:t>
      </w:r>
      <w:r w:rsidR="00BE725E" w:rsidRPr="006E2CA6">
        <w:rPr>
          <w:rFonts w:cstheme="minorHAnsi"/>
        </w:rPr>
        <w:t xml:space="preserve">industry </w:t>
      </w:r>
      <w:r w:rsidR="006A5F87" w:rsidRPr="006E2CA6">
        <w:rPr>
          <w:rFonts w:cstheme="minorHAnsi"/>
        </w:rPr>
        <w:t>has matured since the Round 1 solicitation</w:t>
      </w:r>
      <w:r w:rsidR="00F66FE9" w:rsidRPr="006E2CA6">
        <w:rPr>
          <w:rFonts w:cstheme="minorHAnsi"/>
        </w:rPr>
        <w:t xml:space="preserve">.  </w:t>
      </w:r>
      <w:r w:rsidR="00BE5F59" w:rsidRPr="006E2CA6">
        <w:rPr>
          <w:rFonts w:cstheme="minorHAnsi"/>
        </w:rPr>
        <w:t>Although</w:t>
      </w:r>
      <w:r w:rsidR="00F66FE9" w:rsidRPr="006E2CA6">
        <w:rPr>
          <w:rFonts w:cstheme="minorHAnsi"/>
        </w:rPr>
        <w:t xml:space="preserve"> key high-value equipment such wind </w:t>
      </w:r>
      <w:r w:rsidR="006A5F87" w:rsidRPr="006E2CA6">
        <w:rPr>
          <w:rFonts w:cstheme="minorHAnsi"/>
        </w:rPr>
        <w:t>turbines</w:t>
      </w:r>
      <w:r w:rsidR="00BE5F59" w:rsidRPr="006E2CA6">
        <w:rPr>
          <w:rFonts w:cstheme="minorHAnsi"/>
        </w:rPr>
        <w:t xml:space="preserve"> continue to be sourced from Europe, the domestic supply chain has improved</w:t>
      </w:r>
      <w:r w:rsidR="00BB2BA7">
        <w:rPr>
          <w:rFonts w:cstheme="minorHAnsi"/>
        </w:rPr>
        <w:t>,</w:t>
      </w:r>
      <w:r w:rsidR="006A5F87" w:rsidRPr="006E2CA6">
        <w:rPr>
          <w:rFonts w:cstheme="minorHAnsi"/>
        </w:rPr>
        <w:t xml:space="preserve"> </w:t>
      </w:r>
      <w:r w:rsidR="009E2C7B" w:rsidRPr="006E2CA6">
        <w:rPr>
          <w:rFonts w:cstheme="minorHAnsi"/>
        </w:rPr>
        <w:t xml:space="preserve">turbines are </w:t>
      </w:r>
      <w:r w:rsidR="00F66FE9" w:rsidRPr="006E2CA6">
        <w:rPr>
          <w:rFonts w:cstheme="minorHAnsi"/>
        </w:rPr>
        <w:t>more efficient</w:t>
      </w:r>
      <w:r w:rsidR="00BB2BA7">
        <w:rPr>
          <w:rFonts w:cstheme="minorHAnsi"/>
        </w:rPr>
        <w:t>, and OSW bids have declined</w:t>
      </w:r>
      <w:r w:rsidR="006A5F87" w:rsidRPr="006E2CA6">
        <w:rPr>
          <w:rFonts w:cstheme="minorHAnsi"/>
        </w:rPr>
        <w:t>.</w:t>
      </w:r>
      <w:r w:rsidR="00BE725E" w:rsidRPr="006E2CA6">
        <w:rPr>
          <w:rFonts w:cstheme="minorHAnsi"/>
        </w:rPr>
        <w:t xml:space="preserve"> </w:t>
      </w:r>
      <w:r w:rsidR="00BE5F59" w:rsidRPr="006E2CA6">
        <w:rPr>
          <w:rFonts w:cstheme="minorHAnsi"/>
        </w:rPr>
        <w:t xml:space="preserve"> </w:t>
      </w:r>
      <w:r w:rsidR="006A5F87" w:rsidRPr="006E2CA6">
        <w:rPr>
          <w:rFonts w:cstheme="minorHAnsi"/>
        </w:rPr>
        <w:t>D</w:t>
      </w:r>
      <w:r w:rsidR="00BE5F59" w:rsidRPr="006E2CA6">
        <w:rPr>
          <w:rFonts w:cstheme="minorHAnsi"/>
        </w:rPr>
        <w:t>evelopers</w:t>
      </w:r>
      <w:r w:rsidR="006A5F87" w:rsidRPr="006E2CA6">
        <w:rPr>
          <w:rFonts w:cstheme="minorHAnsi"/>
        </w:rPr>
        <w:t>, moreover,</w:t>
      </w:r>
      <w:r w:rsidR="00BE5F59" w:rsidRPr="006E2CA6">
        <w:rPr>
          <w:rFonts w:cstheme="minorHAnsi"/>
        </w:rPr>
        <w:t xml:space="preserve"> are </w:t>
      </w:r>
      <w:r w:rsidR="006B7FCA" w:rsidRPr="006E2CA6">
        <w:rPr>
          <w:rFonts w:cstheme="minorHAnsi"/>
        </w:rPr>
        <w:t xml:space="preserve">currently </w:t>
      </w:r>
      <w:r w:rsidR="00BE5F59" w:rsidRPr="006E2CA6">
        <w:rPr>
          <w:rFonts w:cstheme="minorHAnsi"/>
        </w:rPr>
        <w:t>more comfortable with the U.S. regulatory and policy environment</w:t>
      </w:r>
      <w:r w:rsidR="006B7FCA" w:rsidRPr="006E2CA6">
        <w:rPr>
          <w:rFonts w:cstheme="minorHAnsi"/>
        </w:rPr>
        <w:t xml:space="preserve"> than they were when Maryland ran its Round 1 solicitation in 2016</w:t>
      </w:r>
      <w:r w:rsidR="00BE725E" w:rsidRPr="006E2CA6">
        <w:rPr>
          <w:rFonts w:cstheme="minorHAnsi"/>
        </w:rPr>
        <w:t>-</w:t>
      </w:r>
      <w:r w:rsidR="006B7FCA" w:rsidRPr="006E2CA6">
        <w:rPr>
          <w:rFonts w:cstheme="minorHAnsi"/>
        </w:rPr>
        <w:t>2017</w:t>
      </w:r>
      <w:r w:rsidR="006A5F87" w:rsidRPr="006E2CA6">
        <w:rPr>
          <w:rFonts w:cstheme="minorHAnsi"/>
        </w:rPr>
        <w:t>.</w:t>
      </w:r>
    </w:p>
    <w:p w14:paraId="712C066F" w14:textId="5E9A4B7D" w:rsidR="00614BF5" w:rsidRPr="006E2CA6" w:rsidRDefault="00614BF5" w:rsidP="00BE5F59">
      <w:pPr>
        <w:rPr>
          <w:rFonts w:cstheme="minorHAnsi"/>
        </w:rPr>
      </w:pPr>
      <w:r w:rsidRPr="006E2CA6">
        <w:rPr>
          <w:rFonts w:cstheme="minorHAnsi"/>
        </w:rPr>
        <w:tab/>
      </w:r>
      <w:r w:rsidR="00BE5F59" w:rsidRPr="006E2CA6">
        <w:rPr>
          <w:rFonts w:cstheme="minorHAnsi"/>
        </w:rPr>
        <w:t xml:space="preserve">This growth and maturation are reflected in the increasing size of </w:t>
      </w:r>
      <w:r w:rsidR="0091780A" w:rsidRPr="006E2CA6">
        <w:rPr>
          <w:rFonts w:cstheme="minorHAnsi"/>
        </w:rPr>
        <w:t xml:space="preserve">domestic </w:t>
      </w:r>
      <w:r w:rsidR="00BE5F59" w:rsidRPr="006E2CA6">
        <w:rPr>
          <w:rFonts w:cstheme="minorHAnsi"/>
        </w:rPr>
        <w:t xml:space="preserve">OSW projects. The first domestic OSW projects </w:t>
      </w:r>
      <w:r w:rsidR="0091780A" w:rsidRPr="006E2CA6">
        <w:rPr>
          <w:rFonts w:cstheme="minorHAnsi"/>
        </w:rPr>
        <w:t xml:space="preserve">selected in competitive solicitations </w:t>
      </w:r>
      <w:r w:rsidR="006A5F87" w:rsidRPr="006E2CA6">
        <w:rPr>
          <w:rFonts w:cstheme="minorHAnsi"/>
        </w:rPr>
        <w:t>were small,</w:t>
      </w:r>
      <w:r w:rsidR="00BE5F59" w:rsidRPr="006E2CA6">
        <w:rPr>
          <w:rFonts w:cstheme="minorHAnsi"/>
        </w:rPr>
        <w:t xml:space="preserve"> e.g.</w:t>
      </w:r>
      <w:r w:rsidR="0091780A" w:rsidRPr="006E2CA6">
        <w:rPr>
          <w:rFonts w:cstheme="minorHAnsi"/>
        </w:rPr>
        <w:t>,</w:t>
      </w:r>
      <w:r w:rsidR="00BE5F59" w:rsidRPr="006E2CA6">
        <w:rPr>
          <w:rFonts w:cstheme="minorHAnsi"/>
        </w:rPr>
        <w:t xml:space="preserve"> the 30 MW Block Island Wind Farm (completed), the 25 MW Fisherman’s Energy (cancelled), the 200 MW Bluewater (cancelled), and the 90 MW South Fork (later expanded to 130 MW; </w:t>
      </w:r>
      <w:r w:rsidR="00533B98" w:rsidRPr="006E2CA6">
        <w:rPr>
          <w:rFonts w:cstheme="minorHAnsi"/>
        </w:rPr>
        <w:t>COD set for the end of 2022</w:t>
      </w:r>
      <w:r w:rsidR="00BE5F59" w:rsidRPr="006E2CA6">
        <w:rPr>
          <w:rFonts w:cstheme="minorHAnsi"/>
        </w:rPr>
        <w:t>).</w:t>
      </w:r>
      <w:r w:rsidR="00043BB9" w:rsidRPr="006E2CA6">
        <w:rPr>
          <w:rFonts w:cstheme="minorHAnsi"/>
        </w:rPr>
        <w:t xml:space="preserve"> </w:t>
      </w:r>
      <w:r w:rsidR="00BE5F59" w:rsidRPr="006E2CA6">
        <w:rPr>
          <w:rFonts w:cstheme="minorHAnsi"/>
        </w:rPr>
        <w:t xml:space="preserve"> Maryland’s Round 1 </w:t>
      </w:r>
      <w:r w:rsidRPr="006E2CA6">
        <w:rPr>
          <w:rFonts w:cstheme="minorHAnsi"/>
        </w:rPr>
        <w:t xml:space="preserve">OSW </w:t>
      </w:r>
      <w:r w:rsidR="00BE5F59" w:rsidRPr="006E2CA6">
        <w:rPr>
          <w:rFonts w:cstheme="minorHAnsi"/>
        </w:rPr>
        <w:t xml:space="preserve">projects were not much larger: the 120 MW Skipjack and 248 MW US Wind projects. </w:t>
      </w:r>
    </w:p>
    <w:p w14:paraId="403CF8BB" w14:textId="4EAC84D5" w:rsidR="00DB5F6F" w:rsidRPr="006E2CA6" w:rsidRDefault="00614BF5" w:rsidP="002F5164">
      <w:pPr>
        <w:rPr>
          <w:rFonts w:cstheme="minorHAnsi"/>
        </w:rPr>
      </w:pPr>
      <w:r w:rsidRPr="006E2CA6">
        <w:rPr>
          <w:rFonts w:cstheme="minorHAnsi"/>
        </w:rPr>
        <w:tab/>
        <w:t>However, t</w:t>
      </w:r>
      <w:r w:rsidR="00BE5F59" w:rsidRPr="006E2CA6">
        <w:rPr>
          <w:rFonts w:cstheme="minorHAnsi"/>
        </w:rPr>
        <w:t xml:space="preserve">he latest domestic OSW projects to be selected </w:t>
      </w:r>
      <w:r w:rsidR="0091780A" w:rsidRPr="006E2CA6">
        <w:rPr>
          <w:rFonts w:cstheme="minorHAnsi"/>
        </w:rPr>
        <w:t xml:space="preserve">in competitive solicitations </w:t>
      </w:r>
      <w:r w:rsidR="009B280F" w:rsidRPr="006E2CA6">
        <w:rPr>
          <w:rFonts w:cstheme="minorHAnsi"/>
        </w:rPr>
        <w:t>are significantly larger, ranging</w:t>
      </w:r>
      <w:r w:rsidR="00BE5F59" w:rsidRPr="006E2CA6">
        <w:rPr>
          <w:rFonts w:cstheme="minorHAnsi"/>
        </w:rPr>
        <w:t xml:space="preserve"> from 704 MW to 1,100 MW</w:t>
      </w:r>
      <w:r w:rsidR="00195F5F" w:rsidRPr="006E2CA6">
        <w:rPr>
          <w:rFonts w:cstheme="minorHAnsi"/>
        </w:rPr>
        <w:t>.</w:t>
      </w:r>
      <w:r w:rsidR="00195F5F" w:rsidRPr="006E2CA6">
        <w:rPr>
          <w:rStyle w:val="FootnoteReference"/>
          <w:rFonts w:cstheme="minorHAnsi"/>
        </w:rPr>
        <w:footnoteReference w:id="5"/>
      </w:r>
      <w:r w:rsidR="00195F5F" w:rsidRPr="006E2CA6">
        <w:rPr>
          <w:rFonts w:cstheme="minorHAnsi"/>
        </w:rPr>
        <w:t xml:space="preserve"> </w:t>
      </w:r>
      <w:r w:rsidR="009B280F" w:rsidRPr="006E2CA6">
        <w:rPr>
          <w:rFonts w:cstheme="minorHAnsi"/>
        </w:rPr>
        <w:t xml:space="preserve"> </w:t>
      </w:r>
      <w:r w:rsidR="00BE5F59" w:rsidRPr="006E2CA6">
        <w:rPr>
          <w:rFonts w:cstheme="minorHAnsi"/>
        </w:rPr>
        <w:t xml:space="preserve">This </w:t>
      </w:r>
      <w:r w:rsidR="009B280F" w:rsidRPr="006E2CA6">
        <w:rPr>
          <w:rFonts w:cstheme="minorHAnsi"/>
        </w:rPr>
        <w:t xml:space="preserve">greater </w:t>
      </w:r>
      <w:r w:rsidR="00BE5F59" w:rsidRPr="006E2CA6">
        <w:rPr>
          <w:rFonts w:cstheme="minorHAnsi"/>
        </w:rPr>
        <w:t xml:space="preserve">size range provides </w:t>
      </w:r>
      <w:r w:rsidR="009B280F" w:rsidRPr="006E2CA6">
        <w:rPr>
          <w:rFonts w:cstheme="minorHAnsi"/>
        </w:rPr>
        <w:t>enhanced</w:t>
      </w:r>
      <w:r w:rsidR="00BE5F59" w:rsidRPr="006E2CA6">
        <w:rPr>
          <w:rFonts w:cstheme="minorHAnsi"/>
        </w:rPr>
        <w:t xml:space="preserve"> economies of scale for amortizing permitting and development costs, minimizing equipment and material purchase costs, and avoiding unnecessary mobilization and installation costs</w:t>
      </w:r>
      <w:r w:rsidR="00195F5F" w:rsidRPr="006E2CA6">
        <w:rPr>
          <w:rFonts w:cstheme="minorHAnsi"/>
        </w:rPr>
        <w:t>.</w:t>
      </w:r>
      <w:r w:rsidR="009B280F" w:rsidRPr="006E2CA6">
        <w:rPr>
          <w:rFonts w:cstheme="minorHAnsi"/>
        </w:rPr>
        <w:t xml:space="preserve">  As result, these larger projects have been able to provide more competitive bids.</w:t>
      </w:r>
    </w:p>
    <w:p w14:paraId="0C5A9B1A" w14:textId="7AAC68C1" w:rsidR="000C56EB" w:rsidRPr="006E2CA6" w:rsidRDefault="00B14142" w:rsidP="002F5164">
      <w:pPr>
        <w:pStyle w:val="Heading1"/>
        <w:rPr>
          <w:rFonts w:asciiTheme="minorHAnsi" w:hAnsiTheme="minorHAnsi" w:cstheme="minorHAnsi"/>
          <w:b/>
          <w:sz w:val="22"/>
          <w:szCs w:val="22"/>
        </w:rPr>
      </w:pPr>
      <w:r w:rsidRPr="006E2CA6">
        <w:rPr>
          <w:rFonts w:asciiTheme="minorHAnsi" w:hAnsiTheme="minorHAnsi" w:cstheme="minorHAnsi"/>
          <w:b/>
          <w:sz w:val="22"/>
          <w:szCs w:val="22"/>
        </w:rPr>
        <w:t>Recom</w:t>
      </w:r>
      <w:r w:rsidR="00A076F9" w:rsidRPr="006E2CA6">
        <w:rPr>
          <w:rFonts w:asciiTheme="minorHAnsi" w:hAnsiTheme="minorHAnsi" w:cstheme="minorHAnsi"/>
          <w:b/>
          <w:sz w:val="22"/>
          <w:szCs w:val="22"/>
        </w:rPr>
        <w:t>mendation</w:t>
      </w:r>
    </w:p>
    <w:p w14:paraId="01CDB079" w14:textId="198A7941" w:rsidR="00797A45" w:rsidRPr="006E2CA6" w:rsidRDefault="00AF6B80" w:rsidP="002F5164">
      <w:pPr>
        <w:rPr>
          <w:rFonts w:cstheme="minorHAnsi"/>
        </w:rPr>
      </w:pPr>
      <w:r w:rsidRPr="006E2CA6">
        <w:rPr>
          <w:rFonts w:cstheme="minorHAnsi"/>
        </w:rPr>
        <w:br/>
      </w:r>
      <w:r w:rsidR="00AF5A29" w:rsidRPr="006E2CA6">
        <w:rPr>
          <w:rFonts w:cstheme="minorHAnsi"/>
        </w:rPr>
        <w:tab/>
      </w:r>
      <w:r w:rsidR="00EC79A6" w:rsidRPr="006E2CA6">
        <w:rPr>
          <w:rFonts w:cstheme="minorHAnsi"/>
        </w:rPr>
        <w:t xml:space="preserve">To mitigate </w:t>
      </w:r>
      <w:r w:rsidR="0005212C" w:rsidRPr="006E2CA6">
        <w:rPr>
          <w:rFonts w:cstheme="minorHAnsi"/>
        </w:rPr>
        <w:t xml:space="preserve">the </w:t>
      </w:r>
      <w:r w:rsidR="00EC79A6" w:rsidRPr="006E2CA6">
        <w:rPr>
          <w:rFonts w:cstheme="minorHAnsi"/>
        </w:rPr>
        <w:t>uncertainty</w:t>
      </w:r>
      <w:r w:rsidR="0005212C" w:rsidRPr="006E2CA6">
        <w:rPr>
          <w:rFonts w:cstheme="minorHAnsi"/>
        </w:rPr>
        <w:t xml:space="preserve"> surrounding</w:t>
      </w:r>
      <w:r w:rsidR="00EC79A6" w:rsidRPr="006E2CA6">
        <w:rPr>
          <w:rFonts w:cstheme="minorHAnsi"/>
        </w:rPr>
        <w:t xml:space="preserve"> </w:t>
      </w:r>
      <w:r w:rsidR="0005212C" w:rsidRPr="006E2CA6">
        <w:rPr>
          <w:rFonts w:cstheme="minorHAnsi"/>
        </w:rPr>
        <w:t>the calculation of consequential impacts</w:t>
      </w:r>
      <w:r w:rsidR="00EC79A6" w:rsidRPr="006E2CA6">
        <w:rPr>
          <w:rFonts w:cstheme="minorHAnsi"/>
        </w:rPr>
        <w:t xml:space="preserve">, we recommend that the Commission </w:t>
      </w:r>
      <w:r w:rsidR="00F309DE" w:rsidRPr="006E2CA6">
        <w:rPr>
          <w:rFonts w:cstheme="minorHAnsi"/>
        </w:rPr>
        <w:t xml:space="preserve">make as clear as possible to the </w:t>
      </w:r>
      <w:r w:rsidR="00043BB9" w:rsidRPr="006E2CA6">
        <w:rPr>
          <w:rFonts w:cstheme="minorHAnsi"/>
        </w:rPr>
        <w:t xml:space="preserve">OSW </w:t>
      </w:r>
      <w:r w:rsidR="00F309DE" w:rsidRPr="006E2CA6">
        <w:rPr>
          <w:rFonts w:cstheme="minorHAnsi"/>
        </w:rPr>
        <w:t xml:space="preserve">market </w:t>
      </w:r>
      <w:r w:rsidR="00EC79A6" w:rsidRPr="006E2CA6">
        <w:rPr>
          <w:rFonts w:cstheme="minorHAnsi"/>
        </w:rPr>
        <w:t xml:space="preserve">how it plans to </w:t>
      </w:r>
      <w:r w:rsidR="00797A45" w:rsidRPr="006E2CA6">
        <w:rPr>
          <w:rFonts w:cstheme="minorHAnsi"/>
        </w:rPr>
        <w:t>calculate this figure.</w:t>
      </w:r>
      <w:r w:rsidR="00E90557" w:rsidRPr="006E2CA6">
        <w:rPr>
          <w:rFonts w:cstheme="minorHAnsi"/>
        </w:rPr>
        <w:t xml:space="preserve"> With respect to the guidance the Commission might issue, at one end of the spectrum the Commission could state the general parameters and assumptions that will guide its calculation of consequential wholesale power market impacts and net rate imp</w:t>
      </w:r>
      <w:r w:rsidR="009A6561" w:rsidRPr="006E2CA6">
        <w:rPr>
          <w:rFonts w:cstheme="minorHAnsi"/>
        </w:rPr>
        <w:t>a</w:t>
      </w:r>
      <w:r w:rsidR="00E90557" w:rsidRPr="006E2CA6">
        <w:rPr>
          <w:rFonts w:cstheme="minorHAnsi"/>
        </w:rPr>
        <w:t>cts.  At the other end, the Commission could calculate the consequential wholesale power price impacts in advance and provide the market with a schedule of such consequential impacts on a $ per MWh basis</w:t>
      </w:r>
      <w:r w:rsidR="009A6561" w:rsidRPr="006E2CA6">
        <w:rPr>
          <w:rFonts w:cstheme="minorHAnsi"/>
        </w:rPr>
        <w:t xml:space="preserve"> </w:t>
      </w:r>
      <w:r w:rsidR="00E90557" w:rsidRPr="006E2CA6">
        <w:rPr>
          <w:rFonts w:cstheme="minorHAnsi"/>
        </w:rPr>
        <w:t xml:space="preserve">that </w:t>
      </w:r>
      <w:r w:rsidR="009A6561" w:rsidRPr="006E2CA6">
        <w:rPr>
          <w:rFonts w:cstheme="minorHAnsi"/>
        </w:rPr>
        <w:t xml:space="preserve">can be applied to proposed </w:t>
      </w:r>
      <w:r w:rsidR="00E90557" w:rsidRPr="006E2CA6">
        <w:rPr>
          <w:rFonts w:cstheme="minorHAnsi"/>
        </w:rPr>
        <w:t xml:space="preserve">OSW project sizes.  </w:t>
      </w:r>
      <w:proofErr w:type="gramStart"/>
      <w:r w:rsidR="00E90557" w:rsidRPr="006E2CA6">
        <w:rPr>
          <w:rFonts w:cstheme="minorHAnsi"/>
        </w:rPr>
        <w:t>Generally speaking, the</w:t>
      </w:r>
      <w:proofErr w:type="gramEnd"/>
      <w:r w:rsidR="00E90557" w:rsidRPr="006E2CA6">
        <w:rPr>
          <w:rFonts w:cstheme="minorHAnsi"/>
        </w:rPr>
        <w:t xml:space="preserve"> more specific the guidance that the Commission can provide, </w:t>
      </w:r>
      <w:r w:rsidR="00E90557" w:rsidRPr="006E2CA6">
        <w:rPr>
          <w:rFonts w:cstheme="minorHAnsi"/>
        </w:rPr>
        <w:lastRenderedPageBreak/>
        <w:t>the better that developers can incorporate such guidance into their bids and the more efficient and cost-effective the bids are likely to be.</w:t>
      </w:r>
    </w:p>
    <w:p w14:paraId="2BD3D540" w14:textId="199A48A9" w:rsidR="004B6D48" w:rsidRPr="00E809D7" w:rsidRDefault="00797A45" w:rsidP="005135EC">
      <w:pPr>
        <w:pStyle w:val="Heading2"/>
      </w:pPr>
      <w:r w:rsidRPr="00E809D7">
        <w:t xml:space="preserve">Option #1: Amending the COMAR and Providing </w:t>
      </w:r>
      <w:r w:rsidR="00E809D7">
        <w:t xml:space="preserve">Separate Detailed </w:t>
      </w:r>
      <w:r w:rsidRPr="00E809D7">
        <w:t xml:space="preserve">Guidance </w:t>
      </w:r>
    </w:p>
    <w:p w14:paraId="04943838" w14:textId="24AF7B71" w:rsidR="00930026" w:rsidRDefault="00797A45" w:rsidP="00A263DA">
      <w:pPr>
        <w:spacing w:after="240"/>
        <w:rPr>
          <w:rFonts w:cstheme="minorHAnsi"/>
        </w:rPr>
      </w:pPr>
      <w:r w:rsidRPr="00E809D7">
        <w:rPr>
          <w:rFonts w:cstheme="minorHAnsi"/>
        </w:rPr>
        <w:tab/>
      </w:r>
      <w:r w:rsidR="00EC79A6" w:rsidRPr="00E809D7">
        <w:rPr>
          <w:rFonts w:cstheme="minorHAnsi"/>
        </w:rPr>
        <w:t>Our prefer</w:t>
      </w:r>
      <w:r w:rsidRPr="00E809D7">
        <w:rPr>
          <w:rFonts w:cstheme="minorHAnsi"/>
        </w:rPr>
        <w:t>red</w:t>
      </w:r>
      <w:r w:rsidR="00EC79A6" w:rsidRPr="00E809D7">
        <w:rPr>
          <w:rFonts w:cstheme="minorHAnsi"/>
        </w:rPr>
        <w:t xml:space="preserve"> option </w:t>
      </w:r>
      <w:r w:rsidR="00DF662A" w:rsidRPr="00E809D7">
        <w:rPr>
          <w:rFonts w:cstheme="minorHAnsi"/>
        </w:rPr>
        <w:t xml:space="preserve">to provide a market signal in this regard </w:t>
      </w:r>
      <w:r w:rsidRPr="00E809D7">
        <w:rPr>
          <w:rFonts w:cstheme="minorHAnsi"/>
        </w:rPr>
        <w:t xml:space="preserve">would be to </w:t>
      </w:r>
      <w:r w:rsidR="00AF6B80" w:rsidRPr="00E809D7">
        <w:rPr>
          <w:rFonts w:cstheme="minorHAnsi"/>
        </w:rPr>
        <w:t>amend</w:t>
      </w:r>
      <w:r w:rsidR="00AF5A29" w:rsidRPr="00E809D7">
        <w:rPr>
          <w:rFonts w:cstheme="minorHAnsi"/>
        </w:rPr>
        <w:t xml:space="preserve"> the COMAR </w:t>
      </w:r>
      <w:r w:rsidR="0004150A" w:rsidRPr="00E809D7">
        <w:rPr>
          <w:rFonts w:cstheme="minorHAnsi"/>
        </w:rPr>
        <w:t>to state that prior to the bid submission</w:t>
      </w:r>
      <w:r w:rsidR="0004150A" w:rsidRPr="006E2CA6">
        <w:rPr>
          <w:rFonts w:cstheme="minorHAnsi"/>
        </w:rPr>
        <w:t xml:space="preserve"> deadline, </w:t>
      </w:r>
      <w:r w:rsidR="00AF5A29" w:rsidRPr="006E2CA6">
        <w:rPr>
          <w:rFonts w:cstheme="minorHAnsi"/>
        </w:rPr>
        <w:t xml:space="preserve">the Commission </w:t>
      </w:r>
      <w:r w:rsidR="00AF6B80" w:rsidRPr="006E2CA6">
        <w:rPr>
          <w:rFonts w:cstheme="minorHAnsi"/>
        </w:rPr>
        <w:t>may</w:t>
      </w:r>
      <w:r w:rsidR="00AF5A29" w:rsidRPr="006E2CA6">
        <w:rPr>
          <w:rFonts w:cstheme="minorHAnsi"/>
        </w:rPr>
        <w:t xml:space="preserve"> provide guidance as to the methodology, factors, and assumptions it will use in dete</w:t>
      </w:r>
      <w:r w:rsidR="00AF6B80" w:rsidRPr="006E2CA6">
        <w:rPr>
          <w:rFonts w:cstheme="minorHAnsi"/>
        </w:rPr>
        <w:t>rmining the net rate impact</w:t>
      </w:r>
      <w:r w:rsidR="00E90557" w:rsidRPr="006E2CA6">
        <w:rPr>
          <w:rFonts w:cstheme="minorHAnsi"/>
        </w:rPr>
        <w:t xml:space="preserve">, particularly the consequential </w:t>
      </w:r>
      <w:r w:rsidR="009A6561" w:rsidRPr="006E2CA6">
        <w:rPr>
          <w:rFonts w:cstheme="minorHAnsi"/>
        </w:rPr>
        <w:t xml:space="preserve">wholesale </w:t>
      </w:r>
      <w:r w:rsidR="00E90557" w:rsidRPr="006E2CA6">
        <w:rPr>
          <w:rFonts w:cstheme="minorHAnsi"/>
        </w:rPr>
        <w:t>power market impact</w:t>
      </w:r>
      <w:r w:rsidR="00FF6708">
        <w:rPr>
          <w:rFonts w:cstheme="minorHAnsi"/>
        </w:rPr>
        <w:t xml:space="preserve"> component</w:t>
      </w:r>
      <w:r w:rsidR="00AF6B80" w:rsidRPr="006E2CA6">
        <w:rPr>
          <w:rFonts w:cstheme="minorHAnsi"/>
        </w:rPr>
        <w:t xml:space="preserve">.  </w:t>
      </w:r>
      <w:r w:rsidR="00DA6D4D">
        <w:rPr>
          <w:rFonts w:cstheme="minorHAnsi"/>
        </w:rPr>
        <w:t>The Commission could go further</w:t>
      </w:r>
      <w:r w:rsidR="00930026">
        <w:rPr>
          <w:rFonts w:cstheme="minorHAnsi"/>
        </w:rPr>
        <w:t xml:space="preserve"> </w:t>
      </w:r>
      <w:r w:rsidR="00FC4124">
        <w:rPr>
          <w:rFonts w:cstheme="minorHAnsi"/>
        </w:rPr>
        <w:t xml:space="preserve">and </w:t>
      </w:r>
      <w:r w:rsidR="00930026">
        <w:rPr>
          <w:rFonts w:cstheme="minorHAnsi"/>
        </w:rPr>
        <w:t>provide</w:t>
      </w:r>
      <w:r w:rsidR="00FC4124">
        <w:rPr>
          <w:rFonts w:cstheme="minorHAnsi"/>
        </w:rPr>
        <w:t xml:space="preserve"> a year-by-year schedule of those consequential impacts</w:t>
      </w:r>
      <w:r w:rsidR="00930026">
        <w:rPr>
          <w:rFonts w:cstheme="minorHAnsi"/>
        </w:rPr>
        <w:t xml:space="preserve"> to the OSW market after the COMAR is amended and as far in advance </w:t>
      </w:r>
      <w:r w:rsidR="00BB2BA7">
        <w:rPr>
          <w:rFonts w:cstheme="minorHAnsi"/>
        </w:rPr>
        <w:t xml:space="preserve">the </w:t>
      </w:r>
      <w:r w:rsidR="00930026">
        <w:rPr>
          <w:rFonts w:cstheme="minorHAnsi"/>
        </w:rPr>
        <w:t xml:space="preserve">bid due </w:t>
      </w:r>
      <w:r w:rsidR="00BB2BA7">
        <w:rPr>
          <w:rFonts w:cstheme="minorHAnsi"/>
        </w:rPr>
        <w:t xml:space="preserve">date </w:t>
      </w:r>
      <w:r w:rsidR="00930026">
        <w:rPr>
          <w:rFonts w:cstheme="minorHAnsi"/>
        </w:rPr>
        <w:t>as feasible.</w:t>
      </w:r>
    </w:p>
    <w:p w14:paraId="7EDB72BF" w14:textId="2AD16BE6" w:rsidR="00F309DE" w:rsidRPr="006E2CA6" w:rsidRDefault="00930026" w:rsidP="002F5164">
      <w:pPr>
        <w:rPr>
          <w:rFonts w:cstheme="minorHAnsi"/>
        </w:rPr>
      </w:pPr>
      <w:r>
        <w:rPr>
          <w:rFonts w:cstheme="minorHAnsi"/>
        </w:rPr>
        <w:tab/>
      </w:r>
      <w:r w:rsidR="00F309DE" w:rsidRPr="006E2CA6">
        <w:rPr>
          <w:rFonts w:cstheme="minorHAnsi"/>
        </w:rPr>
        <w:t xml:space="preserve">The amended </w:t>
      </w:r>
      <w:r w:rsidR="004B6D48" w:rsidRPr="006E2CA6">
        <w:rPr>
          <w:rFonts w:cstheme="minorHAnsi"/>
        </w:rPr>
        <w:t xml:space="preserve">COMAR </w:t>
      </w:r>
      <w:r w:rsidR="00F309DE" w:rsidRPr="006E2CA6">
        <w:rPr>
          <w:rFonts w:cstheme="minorHAnsi"/>
        </w:rPr>
        <w:t xml:space="preserve">language would leave the </w:t>
      </w:r>
      <w:r w:rsidR="004B6D48" w:rsidRPr="006E2CA6">
        <w:rPr>
          <w:rFonts w:cstheme="minorHAnsi"/>
        </w:rPr>
        <w:t xml:space="preserve">Commission </w:t>
      </w:r>
      <w:r w:rsidR="00F309DE" w:rsidRPr="006E2CA6">
        <w:rPr>
          <w:rFonts w:cstheme="minorHAnsi"/>
        </w:rPr>
        <w:t xml:space="preserve">discretion with respect to how it </w:t>
      </w:r>
      <w:r w:rsidR="004B6D48" w:rsidRPr="006E2CA6">
        <w:rPr>
          <w:rFonts w:cstheme="minorHAnsi"/>
        </w:rPr>
        <w:t xml:space="preserve">will calculate net rate impact and how it will convey this information </w:t>
      </w:r>
      <w:r w:rsidR="002E7A83" w:rsidRPr="006E2CA6">
        <w:rPr>
          <w:rFonts w:cstheme="minorHAnsi"/>
        </w:rPr>
        <w:t xml:space="preserve">to the public.  </w:t>
      </w:r>
      <w:r w:rsidR="00F309DE" w:rsidRPr="006E2CA6">
        <w:rPr>
          <w:rFonts w:cstheme="minorHAnsi"/>
        </w:rPr>
        <w:t xml:space="preserve">However, the amended language in the COMAR will signal to the market that further certainty in this regard will be provided, to ensure the ability to make the most efficient bids.  </w:t>
      </w:r>
    </w:p>
    <w:p w14:paraId="37DA5293" w14:textId="7B1F7138" w:rsidR="004B6D48" w:rsidRDefault="00F309DE" w:rsidP="002F5164">
      <w:pPr>
        <w:rPr>
          <w:rFonts w:cstheme="minorHAnsi"/>
        </w:rPr>
      </w:pPr>
      <w:r w:rsidRPr="006E2CA6">
        <w:rPr>
          <w:rFonts w:cstheme="minorHAnsi"/>
        </w:rPr>
        <w:tab/>
      </w:r>
      <w:r w:rsidR="00AF6B80" w:rsidRPr="006E2CA6">
        <w:rPr>
          <w:rFonts w:cstheme="minorHAnsi"/>
        </w:rPr>
        <w:t xml:space="preserve">As the regulations </w:t>
      </w:r>
      <w:r w:rsidR="00930026">
        <w:rPr>
          <w:rFonts w:cstheme="minorHAnsi"/>
        </w:rPr>
        <w:t xml:space="preserve">currently </w:t>
      </w:r>
      <w:r w:rsidR="00AF6B80" w:rsidRPr="006E2CA6">
        <w:rPr>
          <w:rFonts w:cstheme="minorHAnsi"/>
        </w:rPr>
        <w:t xml:space="preserve">stand, the Commission’s estimate will not be calculated until the OREC bid evaluations are underway. COMAR 20.61.06.03 covers evaluation criteria and states that the Commission will conduct the quantitative net rate impact as part of the evaluation process, i.e., after the bids have been submitted. </w:t>
      </w:r>
      <w:r w:rsidR="0004150A" w:rsidRPr="006E2CA6">
        <w:rPr>
          <w:rFonts w:cstheme="minorHAnsi"/>
        </w:rPr>
        <w:t>However, t</w:t>
      </w:r>
      <w:r w:rsidR="00B14142" w:rsidRPr="006E2CA6">
        <w:rPr>
          <w:rFonts w:cstheme="minorHAnsi"/>
        </w:rPr>
        <w:t>he</w:t>
      </w:r>
      <w:r w:rsidR="005B472B" w:rsidRPr="006E2CA6">
        <w:rPr>
          <w:rFonts w:cstheme="minorHAnsi"/>
        </w:rPr>
        <w:t xml:space="preserve"> PUA does not state that the Commission must calculate the </w:t>
      </w:r>
      <w:r w:rsidR="00FF6708">
        <w:rPr>
          <w:rFonts w:cstheme="minorHAnsi"/>
        </w:rPr>
        <w:t xml:space="preserve">consequential wholesale power market </w:t>
      </w:r>
      <w:r w:rsidR="005B472B" w:rsidRPr="006E2CA6">
        <w:rPr>
          <w:rFonts w:cstheme="minorHAnsi"/>
        </w:rPr>
        <w:t>impact</w:t>
      </w:r>
      <w:r w:rsidR="00DB0709" w:rsidRPr="006E2CA6">
        <w:rPr>
          <w:rFonts w:cstheme="minorHAnsi"/>
        </w:rPr>
        <w:t xml:space="preserve"> </w:t>
      </w:r>
      <w:r w:rsidR="00302B35" w:rsidRPr="006E2CA6">
        <w:rPr>
          <w:rFonts w:cstheme="minorHAnsi"/>
        </w:rPr>
        <w:t>after the bids have been received</w:t>
      </w:r>
      <w:r w:rsidR="005B472B" w:rsidRPr="006E2CA6">
        <w:rPr>
          <w:rFonts w:cstheme="minorHAnsi"/>
        </w:rPr>
        <w:t>.</w:t>
      </w:r>
      <w:r w:rsidR="0004150A" w:rsidRPr="006E2CA6">
        <w:rPr>
          <w:rStyle w:val="FootnoteReference"/>
          <w:rFonts w:cstheme="minorHAnsi"/>
        </w:rPr>
        <w:footnoteReference w:id="6"/>
      </w:r>
      <w:r w:rsidR="005B472B" w:rsidRPr="006E2CA6">
        <w:rPr>
          <w:rFonts w:cstheme="minorHAnsi"/>
        </w:rPr>
        <w:t xml:space="preserve">  Nor does it prohibit the Commission from providing guidance to the market as part of the solicitation process as to </w:t>
      </w:r>
      <w:r w:rsidR="00FF6708">
        <w:rPr>
          <w:rFonts w:cstheme="minorHAnsi"/>
        </w:rPr>
        <w:t xml:space="preserve">the </w:t>
      </w:r>
      <w:r w:rsidR="005B472B" w:rsidRPr="006E2CA6">
        <w:rPr>
          <w:rFonts w:cstheme="minorHAnsi"/>
        </w:rPr>
        <w:t xml:space="preserve">net rate impact </w:t>
      </w:r>
      <w:r w:rsidR="001A2BF1">
        <w:rPr>
          <w:rFonts w:cstheme="minorHAnsi"/>
        </w:rPr>
        <w:t xml:space="preserve">calculation </w:t>
      </w:r>
      <w:r w:rsidR="005B472B" w:rsidRPr="006E2CA6">
        <w:rPr>
          <w:rFonts w:cstheme="minorHAnsi"/>
        </w:rPr>
        <w:t>methodology.</w:t>
      </w:r>
      <w:r w:rsidR="00302B35" w:rsidRPr="006E2CA6">
        <w:rPr>
          <w:rStyle w:val="FootnoteReference"/>
          <w:rFonts w:cstheme="minorHAnsi"/>
        </w:rPr>
        <w:footnoteReference w:id="7"/>
      </w:r>
      <w:r w:rsidR="005B472B" w:rsidRPr="006E2CA6">
        <w:rPr>
          <w:rFonts w:cstheme="minorHAnsi"/>
        </w:rPr>
        <w:t xml:space="preserve">  </w:t>
      </w:r>
      <w:r w:rsidR="00A16257" w:rsidRPr="006E2CA6">
        <w:rPr>
          <w:rFonts w:cstheme="minorHAnsi"/>
        </w:rPr>
        <w:t xml:space="preserve">Accordingly, the COMAR could be revised </w:t>
      </w:r>
      <w:r w:rsidR="001A2BF1">
        <w:rPr>
          <w:rFonts w:cstheme="minorHAnsi"/>
        </w:rPr>
        <w:t xml:space="preserve">as discussed herein </w:t>
      </w:r>
      <w:r w:rsidR="00A16257" w:rsidRPr="006E2CA6">
        <w:rPr>
          <w:rFonts w:cstheme="minorHAnsi"/>
        </w:rPr>
        <w:t>within the Commission’s existing authorit</w:t>
      </w:r>
      <w:r w:rsidR="004D44CD" w:rsidRPr="006E2CA6">
        <w:rPr>
          <w:rFonts w:cstheme="minorHAnsi"/>
        </w:rPr>
        <w:t>y to administer the OSW program</w:t>
      </w:r>
      <w:r w:rsidR="00A323E9" w:rsidRPr="006E2CA6">
        <w:rPr>
          <w:rFonts w:cstheme="minorHAnsi"/>
        </w:rPr>
        <w:t xml:space="preserve">. </w:t>
      </w:r>
    </w:p>
    <w:p w14:paraId="5CBC6F7F" w14:textId="00476304" w:rsidR="00DF662A" w:rsidRPr="006E2CA6" w:rsidRDefault="00DF662A" w:rsidP="00E809D7">
      <w:pPr>
        <w:rPr>
          <w:rFonts w:cstheme="minorHAnsi"/>
        </w:rPr>
      </w:pPr>
      <w:r>
        <w:rPr>
          <w:rFonts w:cstheme="minorHAnsi"/>
        </w:rPr>
        <w:tab/>
        <w:t xml:space="preserve">The guidance provided to the OSW market, then, after promulgation of the amended COMAR and before receipt of bids </w:t>
      </w:r>
      <w:r w:rsidRPr="006E2CA6">
        <w:rPr>
          <w:rFonts w:cstheme="minorHAnsi"/>
        </w:rPr>
        <w:t xml:space="preserve">would be </w:t>
      </w:r>
      <w:r w:rsidR="00930026">
        <w:rPr>
          <w:rFonts w:cstheme="minorHAnsi"/>
        </w:rPr>
        <w:t xml:space="preserve">the result of </w:t>
      </w:r>
      <w:r w:rsidRPr="006E2CA6">
        <w:rPr>
          <w:rFonts w:cstheme="minorHAnsi"/>
        </w:rPr>
        <w:t xml:space="preserve">the </w:t>
      </w:r>
      <w:r w:rsidR="00930026">
        <w:rPr>
          <w:rFonts w:cstheme="minorHAnsi"/>
        </w:rPr>
        <w:t>work of a Commission</w:t>
      </w:r>
      <w:r w:rsidRPr="006E2CA6">
        <w:rPr>
          <w:rFonts w:cstheme="minorHAnsi"/>
        </w:rPr>
        <w:t xml:space="preserve"> consultant </w:t>
      </w:r>
      <w:r w:rsidR="00930026">
        <w:rPr>
          <w:rFonts w:cstheme="minorHAnsi"/>
        </w:rPr>
        <w:t xml:space="preserve">retained </w:t>
      </w:r>
      <w:r>
        <w:rPr>
          <w:rFonts w:cstheme="minorHAnsi"/>
        </w:rPr>
        <w:t xml:space="preserve">to </w:t>
      </w:r>
      <w:r w:rsidRPr="006E2CA6">
        <w:rPr>
          <w:rFonts w:cstheme="minorHAnsi"/>
        </w:rPr>
        <w:t xml:space="preserve">forecast </w:t>
      </w:r>
      <w:r w:rsidR="00930026">
        <w:rPr>
          <w:rFonts w:cstheme="minorHAnsi"/>
        </w:rPr>
        <w:t xml:space="preserve">consequential </w:t>
      </w:r>
      <w:r w:rsidRPr="006E2CA6">
        <w:rPr>
          <w:rFonts w:cstheme="minorHAnsi"/>
        </w:rPr>
        <w:t>impacts</w:t>
      </w:r>
      <w:r w:rsidR="00930026">
        <w:rPr>
          <w:rFonts w:cstheme="minorHAnsi"/>
        </w:rPr>
        <w:t xml:space="preserve"> in the form of a </w:t>
      </w:r>
      <w:r w:rsidRPr="006E2CA6">
        <w:rPr>
          <w:rFonts w:cstheme="minorHAnsi"/>
        </w:rPr>
        <w:t>year-by-year schedule on a $ per MWh basis.</w:t>
      </w:r>
      <w:r w:rsidR="00930026">
        <w:rPr>
          <w:rStyle w:val="FootnoteReference"/>
          <w:rFonts w:cstheme="minorHAnsi"/>
        </w:rPr>
        <w:footnoteReference w:id="8"/>
      </w:r>
      <w:r w:rsidRPr="006E2CA6">
        <w:rPr>
          <w:rFonts w:cstheme="minorHAnsi"/>
        </w:rPr>
        <w:t xml:space="preserve">  This would allow</w:t>
      </w:r>
      <w:r>
        <w:rPr>
          <w:rFonts w:cstheme="minorHAnsi"/>
        </w:rPr>
        <w:t xml:space="preserve"> developers</w:t>
      </w:r>
      <w:r w:rsidRPr="006E2CA6">
        <w:rPr>
          <w:rFonts w:cstheme="minorHAnsi"/>
        </w:rPr>
        <w:t xml:space="preserve"> to “sharpen their pencils” and have the confidence to propose the largest </w:t>
      </w:r>
      <w:r w:rsidR="00FC4124">
        <w:rPr>
          <w:rFonts w:cstheme="minorHAnsi"/>
        </w:rPr>
        <w:t xml:space="preserve">and lowest-cost </w:t>
      </w:r>
      <w:r w:rsidRPr="006E2CA6">
        <w:rPr>
          <w:rFonts w:cstheme="minorHAnsi"/>
        </w:rPr>
        <w:t xml:space="preserve">project possible that satisfies the CEJA residential and non-residential net rate impact limits.  </w:t>
      </w:r>
    </w:p>
    <w:p w14:paraId="20DEB064" w14:textId="7D231F93" w:rsidR="00DF662A" w:rsidRPr="00E809D7" w:rsidRDefault="00DF662A" w:rsidP="00E809D7">
      <w:pPr>
        <w:ind w:firstLine="720"/>
        <w:rPr>
          <w:rFonts w:cstheme="minorHAnsi"/>
        </w:rPr>
      </w:pPr>
      <w:r w:rsidRPr="006E2CA6">
        <w:rPr>
          <w:rFonts w:cstheme="minorHAnsi"/>
        </w:rPr>
        <w:t>There is preceden</w:t>
      </w:r>
      <w:r>
        <w:rPr>
          <w:rFonts w:cstheme="minorHAnsi"/>
        </w:rPr>
        <w:t>t</w:t>
      </w:r>
      <w:r w:rsidRPr="006E2CA6">
        <w:rPr>
          <w:rFonts w:cstheme="minorHAnsi"/>
        </w:rPr>
        <w:t xml:space="preserve"> for such </w:t>
      </w:r>
      <w:r>
        <w:rPr>
          <w:rFonts w:cstheme="minorHAnsi"/>
        </w:rPr>
        <w:t xml:space="preserve">advance </w:t>
      </w:r>
      <w:r w:rsidRPr="006E2CA6">
        <w:rPr>
          <w:rFonts w:cstheme="minorHAnsi"/>
        </w:rPr>
        <w:t>guidance in the Commission’s Round 1 OSW solicitation.  The Commission permitted 2-part bids in which the second part of a</w:t>
      </w:r>
      <w:r>
        <w:rPr>
          <w:rFonts w:cstheme="minorHAnsi"/>
        </w:rPr>
        <w:t xml:space="preserve"> developer’s</w:t>
      </w:r>
      <w:r w:rsidRPr="006E2CA6">
        <w:rPr>
          <w:rFonts w:cstheme="minorHAnsi"/>
        </w:rPr>
        <w:t xml:space="preserve"> bid price would be </w:t>
      </w:r>
      <w:r w:rsidRPr="006E2CA6">
        <w:rPr>
          <w:rFonts w:cstheme="minorHAnsi"/>
        </w:rPr>
        <w:lastRenderedPageBreak/>
        <w:t xml:space="preserve">adjusted pro-rata based on the actual PJM system upgrade cost (determined through the PJM interconnection process) compared to the Commission’s estimated cost.  The Commission retained a transmission consultant to </w:t>
      </w:r>
      <w:r w:rsidRPr="00E809D7">
        <w:rPr>
          <w:rFonts w:cstheme="minorHAnsi"/>
        </w:rPr>
        <w:t>estimate the PJM system upgrade cost for a generic OSW project that was provided to OSW developers in advance of their OREC price submittals.</w:t>
      </w:r>
      <w:r w:rsidRPr="00E809D7">
        <w:rPr>
          <w:rStyle w:val="FootnoteReference"/>
          <w:rFonts w:cstheme="minorHAnsi"/>
        </w:rPr>
        <w:footnoteReference w:id="9"/>
      </w:r>
    </w:p>
    <w:p w14:paraId="19AD5E3E" w14:textId="58C26099" w:rsidR="00593B0B" w:rsidRPr="00E809D7" w:rsidRDefault="004B6D48" w:rsidP="005135EC">
      <w:pPr>
        <w:pStyle w:val="Heading2"/>
      </w:pPr>
      <w:bookmarkStart w:id="2" w:name="_Hlk53564801"/>
      <w:r w:rsidRPr="00E809D7">
        <w:t>Option #2: Memorialize the Net Rate Impact Guidance in the COMAR</w:t>
      </w:r>
      <w:bookmarkEnd w:id="2"/>
    </w:p>
    <w:p w14:paraId="7E0702BF" w14:textId="3978D77F" w:rsidR="00593B0B" w:rsidRPr="006E2CA6" w:rsidRDefault="004B6D48" w:rsidP="00632837">
      <w:pPr>
        <w:ind w:firstLine="720"/>
        <w:rPr>
          <w:rFonts w:cstheme="minorHAnsi"/>
        </w:rPr>
      </w:pPr>
      <w:r w:rsidRPr="00E809D7">
        <w:rPr>
          <w:rFonts w:cstheme="minorHAnsi"/>
        </w:rPr>
        <w:t xml:space="preserve">Alternatively, the </w:t>
      </w:r>
      <w:r w:rsidR="004D44CD" w:rsidRPr="00E809D7">
        <w:rPr>
          <w:rFonts w:cstheme="minorHAnsi"/>
        </w:rPr>
        <w:t xml:space="preserve">Commission could </w:t>
      </w:r>
      <w:r w:rsidR="0005212C" w:rsidRPr="00E809D7">
        <w:rPr>
          <w:rFonts w:cstheme="minorHAnsi"/>
        </w:rPr>
        <w:t xml:space="preserve">decide </w:t>
      </w:r>
      <w:r w:rsidR="004D44CD" w:rsidRPr="00E809D7">
        <w:rPr>
          <w:rFonts w:cstheme="minorHAnsi"/>
        </w:rPr>
        <w:t xml:space="preserve">how it plans to calculate the </w:t>
      </w:r>
      <w:r w:rsidR="00E90557" w:rsidRPr="00E809D7">
        <w:rPr>
          <w:rFonts w:cstheme="minorHAnsi"/>
        </w:rPr>
        <w:t xml:space="preserve">consequential and </w:t>
      </w:r>
      <w:r w:rsidR="004D44CD" w:rsidRPr="00E809D7">
        <w:rPr>
          <w:rFonts w:cstheme="minorHAnsi"/>
        </w:rPr>
        <w:t>net rate impact</w:t>
      </w:r>
      <w:r w:rsidR="00E90557" w:rsidRPr="00E809D7">
        <w:rPr>
          <w:rFonts w:cstheme="minorHAnsi"/>
        </w:rPr>
        <w:t>s</w:t>
      </w:r>
      <w:r w:rsidR="004D44CD" w:rsidRPr="00E809D7">
        <w:rPr>
          <w:rFonts w:cstheme="minorHAnsi"/>
        </w:rPr>
        <w:t xml:space="preserve"> </w:t>
      </w:r>
      <w:r w:rsidR="0005212C" w:rsidRPr="00E809D7">
        <w:rPr>
          <w:rFonts w:cstheme="minorHAnsi"/>
        </w:rPr>
        <w:t xml:space="preserve">on an earlier timeframe </w:t>
      </w:r>
      <w:r w:rsidR="004D44CD" w:rsidRPr="00E809D7">
        <w:rPr>
          <w:rFonts w:cstheme="minorHAnsi"/>
        </w:rPr>
        <w:t>and</w:t>
      </w:r>
      <w:r w:rsidR="004D44CD" w:rsidRPr="006E2CA6">
        <w:rPr>
          <w:rFonts w:cstheme="minorHAnsi"/>
        </w:rPr>
        <w:t xml:space="preserve"> memorialize this guidance as part of the </w:t>
      </w:r>
      <w:r w:rsidR="0005212C" w:rsidRPr="006E2CA6">
        <w:rPr>
          <w:rFonts w:cstheme="minorHAnsi"/>
        </w:rPr>
        <w:t xml:space="preserve">proposed </w:t>
      </w:r>
      <w:r w:rsidR="004D44CD" w:rsidRPr="006E2CA6">
        <w:rPr>
          <w:rFonts w:cstheme="minorHAnsi"/>
        </w:rPr>
        <w:t xml:space="preserve">COMAR amendments. That is, instead of providing the market guidance sometime between when the COMAR amendments are finalized and the OSW bid deadline, the Commission could embed this analysis in the regulations themselves.  The advantage of such an approach is that potential bidders are </w:t>
      </w:r>
      <w:r w:rsidR="0005212C" w:rsidRPr="006E2CA6">
        <w:rPr>
          <w:rFonts w:cstheme="minorHAnsi"/>
        </w:rPr>
        <w:t>informed on</w:t>
      </w:r>
      <w:r w:rsidR="004D44CD" w:rsidRPr="006E2CA6">
        <w:rPr>
          <w:rFonts w:cstheme="minorHAnsi"/>
        </w:rPr>
        <w:t xml:space="preserve"> an earlier date of how the Commission will </w:t>
      </w:r>
      <w:r w:rsidR="00D73D3D" w:rsidRPr="006E2CA6">
        <w:rPr>
          <w:rFonts w:cstheme="minorHAnsi"/>
        </w:rPr>
        <w:t xml:space="preserve">calculate net rate impacts.  The disadvantage is that it requires the Commission to calculate the consequential </w:t>
      </w:r>
      <w:r w:rsidR="0005212C" w:rsidRPr="006E2CA6">
        <w:rPr>
          <w:rFonts w:cstheme="minorHAnsi"/>
        </w:rPr>
        <w:t xml:space="preserve">impacts </w:t>
      </w:r>
      <w:r w:rsidR="00D73D3D" w:rsidRPr="006E2CA6">
        <w:rPr>
          <w:rFonts w:cstheme="minorHAnsi"/>
        </w:rPr>
        <w:t xml:space="preserve">on an earlier schedule without the flexibility of </w:t>
      </w:r>
      <w:r w:rsidR="00FF6708">
        <w:rPr>
          <w:rFonts w:cstheme="minorHAnsi"/>
        </w:rPr>
        <w:t xml:space="preserve">updating its assumptions or </w:t>
      </w:r>
      <w:r w:rsidR="00D73D3D" w:rsidRPr="006E2CA6">
        <w:rPr>
          <w:rFonts w:cstheme="minorHAnsi"/>
        </w:rPr>
        <w:t>changing its methodology after the regulations are set.</w:t>
      </w:r>
    </w:p>
    <w:p w14:paraId="2B37E9C7" w14:textId="2C9D4C09" w:rsidR="00B6312A" w:rsidRPr="006E2CA6" w:rsidRDefault="00B6312A" w:rsidP="00930026">
      <w:pPr>
        <w:ind w:firstLine="720"/>
        <w:rPr>
          <w:rFonts w:cstheme="minorHAnsi"/>
        </w:rPr>
      </w:pPr>
    </w:p>
    <w:sectPr w:rsidR="00B6312A" w:rsidRPr="006E2CA6" w:rsidSect="0091780A">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93B93" w14:textId="77777777" w:rsidR="00430650" w:rsidRDefault="00430650" w:rsidP="00267612">
      <w:pPr>
        <w:spacing w:after="0" w:line="240" w:lineRule="auto"/>
      </w:pPr>
      <w:r>
        <w:separator/>
      </w:r>
    </w:p>
  </w:endnote>
  <w:endnote w:type="continuationSeparator" w:id="0">
    <w:p w14:paraId="085E1FAC" w14:textId="77777777" w:rsidR="00430650" w:rsidRDefault="00430650" w:rsidP="0026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3130371"/>
      <w:docPartObj>
        <w:docPartGallery w:val="Page Numbers (Bottom of Page)"/>
        <w:docPartUnique/>
      </w:docPartObj>
    </w:sdtPr>
    <w:sdtEndPr>
      <w:rPr>
        <w:noProof/>
      </w:rPr>
    </w:sdtEndPr>
    <w:sdtContent>
      <w:p w14:paraId="1DFB6CBB" w14:textId="70DD1F82" w:rsidR="005135EC" w:rsidRDefault="005135E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58F8D83" w14:textId="77777777" w:rsidR="00A076F9" w:rsidRDefault="00A0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85599" w14:textId="77777777" w:rsidR="00430650" w:rsidRDefault="00430650" w:rsidP="00267612">
      <w:pPr>
        <w:spacing w:after="0" w:line="240" w:lineRule="auto"/>
      </w:pPr>
      <w:r>
        <w:separator/>
      </w:r>
    </w:p>
  </w:footnote>
  <w:footnote w:type="continuationSeparator" w:id="0">
    <w:p w14:paraId="66824F5F" w14:textId="77777777" w:rsidR="00430650" w:rsidRDefault="00430650" w:rsidP="00267612">
      <w:pPr>
        <w:spacing w:after="0" w:line="240" w:lineRule="auto"/>
      </w:pPr>
      <w:r>
        <w:continuationSeparator/>
      </w:r>
    </w:p>
  </w:footnote>
  <w:footnote w:id="1">
    <w:p w14:paraId="345F125F" w14:textId="297ABB7B" w:rsidR="00511067" w:rsidRPr="006E2CA6" w:rsidRDefault="00511067">
      <w:pPr>
        <w:pStyle w:val="FootnoteText"/>
        <w:rPr>
          <w:rFonts w:cstheme="minorHAnsi"/>
        </w:rPr>
      </w:pPr>
      <w:r w:rsidRPr="006E2CA6">
        <w:rPr>
          <w:rStyle w:val="FootnoteReference"/>
          <w:rFonts w:cstheme="minorHAnsi"/>
        </w:rPr>
        <w:footnoteRef/>
      </w:r>
      <w:r w:rsidRPr="006E2CA6">
        <w:rPr>
          <w:rFonts w:cstheme="minorHAnsi"/>
        </w:rPr>
        <w:t xml:space="preserve"> PUA § 7-704.1(e)(1)(iii)</w:t>
      </w:r>
      <w:r w:rsidR="005C148F" w:rsidRPr="006E2CA6">
        <w:rPr>
          <w:rFonts w:cstheme="minorHAnsi"/>
        </w:rPr>
        <w:t>(1)</w:t>
      </w:r>
      <w:r w:rsidR="00125683" w:rsidRPr="006E2CA6">
        <w:rPr>
          <w:rFonts w:cstheme="minorHAnsi"/>
        </w:rPr>
        <w:t>(A) &amp;(B)</w:t>
      </w:r>
      <w:r w:rsidRPr="006E2CA6">
        <w:rPr>
          <w:rFonts w:cstheme="minorHAnsi"/>
        </w:rPr>
        <w:t xml:space="preserve"> (as codified </w:t>
      </w:r>
      <w:r w:rsidR="00125683" w:rsidRPr="006E2CA6">
        <w:rPr>
          <w:rFonts w:cstheme="minorHAnsi"/>
        </w:rPr>
        <w:t>in the PUA post-</w:t>
      </w:r>
      <w:r w:rsidRPr="006E2CA6">
        <w:rPr>
          <w:rFonts w:cstheme="minorHAnsi"/>
        </w:rPr>
        <w:t>CEJA).</w:t>
      </w:r>
      <w:r w:rsidR="00125683" w:rsidRPr="006E2CA6">
        <w:rPr>
          <w:rFonts w:cstheme="minorHAnsi"/>
        </w:rPr>
        <w:t xml:space="preserve"> CEJA </w:t>
      </w:r>
      <w:r w:rsidR="005C148F" w:rsidRPr="006E2CA6">
        <w:rPr>
          <w:rFonts w:cstheme="minorHAnsi"/>
        </w:rPr>
        <w:t>changes</w:t>
      </w:r>
      <w:r w:rsidR="00125683" w:rsidRPr="006E2CA6">
        <w:rPr>
          <w:rFonts w:cstheme="minorHAnsi"/>
        </w:rPr>
        <w:t xml:space="preserve"> the </w:t>
      </w:r>
      <w:r w:rsidR="005C148F" w:rsidRPr="006E2CA6">
        <w:rPr>
          <w:rFonts w:cstheme="minorHAnsi"/>
        </w:rPr>
        <w:t xml:space="preserve">citations for these Round 1 provisions in the PUA but left the substance of these provisions largely intact. </w:t>
      </w:r>
    </w:p>
    <w:p w14:paraId="0688ABBA" w14:textId="77777777" w:rsidR="00043BB9" w:rsidRPr="006E2CA6" w:rsidRDefault="00043BB9">
      <w:pPr>
        <w:pStyle w:val="FootnoteText"/>
        <w:rPr>
          <w:rFonts w:cstheme="minorHAnsi"/>
        </w:rPr>
      </w:pPr>
    </w:p>
  </w:footnote>
  <w:footnote w:id="2">
    <w:p w14:paraId="11C73361" w14:textId="4430A3A9" w:rsidR="00125683" w:rsidRPr="006E2CA6" w:rsidRDefault="00125683">
      <w:pPr>
        <w:pStyle w:val="FootnoteText"/>
        <w:rPr>
          <w:rFonts w:cstheme="minorHAnsi"/>
        </w:rPr>
      </w:pPr>
      <w:r w:rsidRPr="006E2CA6">
        <w:rPr>
          <w:rStyle w:val="FootnoteReference"/>
          <w:rFonts w:cstheme="minorHAnsi"/>
        </w:rPr>
        <w:footnoteRef/>
      </w:r>
      <w:r w:rsidRPr="006E2CA6">
        <w:rPr>
          <w:rFonts w:cstheme="minorHAnsi"/>
        </w:rPr>
        <w:t xml:space="preserve"> PUA § 7-704.1(e)(1)(iii)</w:t>
      </w:r>
      <w:r w:rsidR="005C148F" w:rsidRPr="006E2CA6">
        <w:rPr>
          <w:rFonts w:cstheme="minorHAnsi"/>
        </w:rPr>
        <w:t>(1)</w:t>
      </w:r>
      <w:r w:rsidRPr="006E2CA6">
        <w:rPr>
          <w:rFonts w:cstheme="minorHAnsi"/>
        </w:rPr>
        <w:t>(C) (as codified in the PUA post-CEJA).</w:t>
      </w:r>
    </w:p>
    <w:p w14:paraId="190360DD" w14:textId="77777777" w:rsidR="00043BB9" w:rsidRPr="006E2CA6" w:rsidRDefault="00043BB9">
      <w:pPr>
        <w:pStyle w:val="FootnoteText"/>
        <w:rPr>
          <w:rFonts w:cstheme="minorHAnsi"/>
        </w:rPr>
      </w:pPr>
    </w:p>
  </w:footnote>
  <w:footnote w:id="3">
    <w:p w14:paraId="77325759" w14:textId="040ADE8F" w:rsidR="000C271A" w:rsidRPr="006E2CA6" w:rsidRDefault="000C271A">
      <w:pPr>
        <w:pStyle w:val="FootnoteText"/>
        <w:rPr>
          <w:rFonts w:cstheme="minorHAnsi"/>
        </w:rPr>
      </w:pPr>
      <w:r w:rsidRPr="006E2CA6">
        <w:rPr>
          <w:rStyle w:val="FootnoteReference"/>
          <w:rFonts w:cstheme="minorHAnsi"/>
        </w:rPr>
        <w:footnoteRef/>
      </w:r>
      <w:r w:rsidRPr="006E2CA6">
        <w:rPr>
          <w:rFonts w:cstheme="minorHAnsi"/>
        </w:rPr>
        <w:t xml:space="preserve"> PUA § 7-704.1(e)(1)(iii)(2).</w:t>
      </w:r>
    </w:p>
  </w:footnote>
  <w:footnote w:id="4">
    <w:p w14:paraId="560A7AF9" w14:textId="0CE1EEE8" w:rsidR="006B0A69" w:rsidRPr="006E2CA6" w:rsidRDefault="006B0A69">
      <w:pPr>
        <w:pStyle w:val="FootnoteText"/>
        <w:rPr>
          <w:rFonts w:cstheme="minorHAnsi"/>
        </w:rPr>
      </w:pPr>
      <w:r w:rsidRPr="006E2CA6">
        <w:rPr>
          <w:rStyle w:val="FootnoteReference"/>
          <w:rFonts w:cstheme="minorHAnsi"/>
        </w:rPr>
        <w:footnoteRef/>
      </w:r>
      <w:r w:rsidRPr="006E2CA6">
        <w:rPr>
          <w:rFonts w:cstheme="minorHAnsi"/>
        </w:rPr>
        <w:t xml:space="preserve"> See </w:t>
      </w:r>
      <w:r w:rsidRPr="00632837">
        <w:rPr>
          <w:rFonts w:cstheme="minorHAnsi"/>
        </w:rPr>
        <w:t>PUA § 7-704.1(e)(1)(iii)(2) (stating not-to-exceed net rate impact for Round 2 OSW projects).</w:t>
      </w:r>
    </w:p>
    <w:p w14:paraId="5296F7A6" w14:textId="77777777" w:rsidR="00043BB9" w:rsidRPr="006E2CA6" w:rsidRDefault="00043BB9">
      <w:pPr>
        <w:pStyle w:val="FootnoteText"/>
        <w:rPr>
          <w:rFonts w:cstheme="minorHAnsi"/>
        </w:rPr>
      </w:pPr>
    </w:p>
  </w:footnote>
  <w:footnote w:id="5">
    <w:p w14:paraId="0E6D3112" w14:textId="07E94C08" w:rsidR="00195F5F" w:rsidRPr="006E2CA6" w:rsidRDefault="00195F5F" w:rsidP="00195F5F">
      <w:pPr>
        <w:pStyle w:val="FootnoteText"/>
        <w:rPr>
          <w:rFonts w:cstheme="minorHAnsi"/>
        </w:rPr>
      </w:pPr>
      <w:r w:rsidRPr="006E2CA6">
        <w:rPr>
          <w:rStyle w:val="FootnoteReference"/>
          <w:rFonts w:cstheme="minorHAnsi"/>
        </w:rPr>
        <w:footnoteRef/>
      </w:r>
      <w:r w:rsidRPr="006E2CA6">
        <w:rPr>
          <w:rFonts w:cstheme="minorHAnsi"/>
        </w:rPr>
        <w:t xml:space="preserve"> The most recent domestic OSW projects include Copenhagen Infrastructure Partners / Avangrid - Vineyard Wind I 800 MW (Massachusetts), Copenhagen Infrastructure Partners / Avangrid - Park City Wind 804 MW (Connecticut), Shell / EDP </w:t>
      </w:r>
      <w:r w:rsidR="000C271A" w:rsidRPr="006E2CA6">
        <w:rPr>
          <w:rFonts w:cstheme="minorHAnsi"/>
        </w:rPr>
        <w:t>–</w:t>
      </w:r>
      <w:r w:rsidRPr="006E2CA6">
        <w:rPr>
          <w:rFonts w:cstheme="minorHAnsi"/>
        </w:rPr>
        <w:t xml:space="preserve"> Mayflower Wind 804 MW (Massachusetts), Ørsted / PSEG - Ocean Wind Phase 1 1,100 MW (New Jersey), Ørsted / Eversource - Revolution Wind 704 MW (Rhode Island and Connecticut), Ørsted / Eversource - Sunrise Wind 880 MW (New York), and Equinor - Empire Wind 816 MW (New York).</w:t>
      </w:r>
    </w:p>
    <w:p w14:paraId="1C168083" w14:textId="77777777" w:rsidR="00E90557" w:rsidRPr="006E2CA6" w:rsidRDefault="00E90557" w:rsidP="00195F5F">
      <w:pPr>
        <w:pStyle w:val="FootnoteText"/>
        <w:rPr>
          <w:rFonts w:cstheme="minorHAnsi"/>
        </w:rPr>
      </w:pPr>
    </w:p>
  </w:footnote>
  <w:footnote w:id="6">
    <w:p w14:paraId="5EC57D6B" w14:textId="264CDE82" w:rsidR="0004150A" w:rsidRPr="00632837" w:rsidRDefault="0004150A" w:rsidP="0004150A">
      <w:pPr>
        <w:pStyle w:val="FootnoteText"/>
        <w:rPr>
          <w:rFonts w:cstheme="minorHAnsi"/>
        </w:rPr>
      </w:pPr>
      <w:r w:rsidRPr="006E2CA6">
        <w:rPr>
          <w:rStyle w:val="FootnoteReference"/>
          <w:rFonts w:cstheme="minorHAnsi"/>
        </w:rPr>
        <w:footnoteRef/>
      </w:r>
      <w:r w:rsidRPr="006E2CA6">
        <w:rPr>
          <w:rFonts w:cstheme="minorHAnsi"/>
        </w:rPr>
        <w:t xml:space="preserve"> </w:t>
      </w:r>
      <w:r w:rsidRPr="00632837">
        <w:rPr>
          <w:rFonts w:cstheme="minorHAnsi"/>
          <w:i/>
        </w:rPr>
        <w:t>See</w:t>
      </w:r>
      <w:r w:rsidRPr="00632837">
        <w:rPr>
          <w:rFonts w:cstheme="minorHAnsi"/>
        </w:rPr>
        <w:t xml:space="preserve"> PUA § 7-704.1.</w:t>
      </w:r>
    </w:p>
    <w:p w14:paraId="6E00EE8D" w14:textId="77777777" w:rsidR="00E90557" w:rsidRPr="001A2BF1" w:rsidRDefault="00E90557" w:rsidP="0004150A">
      <w:pPr>
        <w:pStyle w:val="FootnoteText"/>
        <w:rPr>
          <w:rFonts w:cstheme="minorHAnsi"/>
        </w:rPr>
      </w:pPr>
    </w:p>
  </w:footnote>
  <w:footnote w:id="7">
    <w:p w14:paraId="0AA40802" w14:textId="30D6BF8F" w:rsidR="00302B35" w:rsidRPr="006E2CA6" w:rsidRDefault="00302B35">
      <w:pPr>
        <w:pStyle w:val="FootnoteText"/>
        <w:rPr>
          <w:rFonts w:cstheme="minorHAnsi"/>
          <w:i/>
        </w:rPr>
      </w:pPr>
      <w:r w:rsidRPr="006E2CA6">
        <w:rPr>
          <w:rStyle w:val="FootnoteReference"/>
          <w:rFonts w:cstheme="minorHAnsi"/>
        </w:rPr>
        <w:footnoteRef/>
      </w:r>
      <w:r w:rsidRPr="006E2CA6">
        <w:rPr>
          <w:rFonts w:cstheme="minorHAnsi"/>
        </w:rPr>
        <w:t xml:space="preserve"> </w:t>
      </w:r>
      <w:r w:rsidRPr="00632837">
        <w:rPr>
          <w:rFonts w:cstheme="minorHAnsi"/>
          <w:i/>
        </w:rPr>
        <w:t>Id.</w:t>
      </w:r>
    </w:p>
    <w:p w14:paraId="397F962D" w14:textId="77777777" w:rsidR="0097685D" w:rsidRPr="006E2CA6" w:rsidRDefault="0097685D">
      <w:pPr>
        <w:pStyle w:val="FootnoteText"/>
        <w:rPr>
          <w:rFonts w:cstheme="minorHAnsi"/>
        </w:rPr>
      </w:pPr>
    </w:p>
  </w:footnote>
  <w:footnote w:id="8">
    <w:p w14:paraId="354210CB" w14:textId="00E06594" w:rsidR="00930026" w:rsidRPr="00A263DA" w:rsidRDefault="00930026" w:rsidP="00A263DA">
      <w:pPr>
        <w:spacing w:line="240" w:lineRule="auto"/>
        <w:rPr>
          <w:sz w:val="20"/>
          <w:szCs w:val="20"/>
        </w:rPr>
      </w:pPr>
      <w:r w:rsidRPr="00A263DA">
        <w:rPr>
          <w:rStyle w:val="FootnoteReference"/>
          <w:sz w:val="20"/>
          <w:szCs w:val="20"/>
        </w:rPr>
        <w:footnoteRef/>
      </w:r>
      <w:r w:rsidRPr="00A263DA">
        <w:rPr>
          <w:sz w:val="20"/>
          <w:szCs w:val="20"/>
        </w:rPr>
        <w:t xml:space="preserve"> </w:t>
      </w:r>
      <w:r w:rsidRPr="00A263DA">
        <w:rPr>
          <w:rFonts w:cstheme="minorHAnsi"/>
          <w:sz w:val="20"/>
          <w:szCs w:val="20"/>
        </w:rPr>
        <w:t xml:space="preserve">We note that forecasting these consequential impacts is not within the scope of our current engagement.  As such, this memorandum does not provide such an analysis, but rather proposes ways of amending the COMAR to accommodate such an action by the Commission. </w:t>
      </w:r>
    </w:p>
  </w:footnote>
  <w:footnote w:id="9">
    <w:p w14:paraId="6283A806" w14:textId="77777777" w:rsidR="00DF662A" w:rsidRPr="006E2CA6" w:rsidRDefault="00DF662A" w:rsidP="00DF662A">
      <w:pPr>
        <w:pStyle w:val="FootnoteText"/>
        <w:rPr>
          <w:rFonts w:cstheme="minorHAnsi"/>
        </w:rPr>
      </w:pPr>
      <w:r w:rsidRPr="006E2CA6">
        <w:rPr>
          <w:rStyle w:val="FootnoteReference"/>
          <w:rFonts w:cstheme="minorHAnsi"/>
        </w:rPr>
        <w:footnoteRef/>
      </w:r>
      <w:r w:rsidRPr="006E2CA6">
        <w:rPr>
          <w:rFonts w:cstheme="minorHAnsi"/>
        </w:rPr>
        <w:t xml:space="preserve"> </w:t>
      </w:r>
      <w:r w:rsidRPr="00632837">
        <w:rPr>
          <w:rFonts w:cstheme="minorHAnsi"/>
        </w:rPr>
        <w:t xml:space="preserve">Axum Energy Ventures prepared a System Impact Study Report for the </w:t>
      </w:r>
      <w:r w:rsidRPr="006E2CA6">
        <w:rPr>
          <w:rFonts w:cstheme="minorHAnsi"/>
        </w:rPr>
        <w:t xml:space="preserve">Commission dated </w:t>
      </w:r>
      <w:r w:rsidRPr="00632837">
        <w:rPr>
          <w:rFonts w:cstheme="minorHAnsi"/>
        </w:rPr>
        <w:t>January 30,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357E" w14:textId="77777777" w:rsidR="00A076F9" w:rsidRDefault="00A076F9" w:rsidP="0091780A">
    <w:pPr>
      <w:pStyle w:val="Header"/>
      <w:tabs>
        <w:tab w:val="clear" w:pos="4680"/>
        <w:tab w:val="clear" w:pos="9360"/>
        <w:tab w:val="left" w:pos="5573"/>
      </w:tabs>
    </w:pPr>
    <w:r>
      <w:t>Leslie Romine</w:t>
    </w:r>
    <w:r w:rsidR="0091780A">
      <w:tab/>
    </w:r>
  </w:p>
  <w:p w14:paraId="194BF1FA" w14:textId="68599236" w:rsidR="00A076F9" w:rsidRDefault="00A076F9">
    <w:pPr>
      <w:pStyle w:val="Header"/>
    </w:pPr>
    <w:r>
      <w:t>October</w:t>
    </w:r>
    <w:r w:rsidR="00A263DA">
      <w:t xml:space="preserve"> 15</w:t>
    </w:r>
    <w:r>
      <w:t>, 2020</w:t>
    </w:r>
  </w:p>
  <w:p w14:paraId="118EB713" w14:textId="7A5353B6" w:rsidR="0091780A" w:rsidRDefault="0091780A">
    <w:pPr>
      <w:pStyle w:val="Header"/>
      <w:rPr>
        <w:noProof/>
      </w:rPr>
    </w:pPr>
    <w:r>
      <w:t xml:space="preserve">Page </w:t>
    </w:r>
    <w:r>
      <w:fldChar w:fldCharType="begin"/>
    </w:r>
    <w:r>
      <w:instrText xml:space="preserve"> PAGE   \* MERGEFORMAT </w:instrText>
    </w:r>
    <w:r>
      <w:fldChar w:fldCharType="separate"/>
    </w:r>
    <w:r w:rsidR="005135EC">
      <w:rPr>
        <w:noProof/>
      </w:rPr>
      <w:t>6</w:t>
    </w:r>
    <w:r>
      <w:rPr>
        <w:noProof/>
      </w:rPr>
      <w:fldChar w:fldCharType="end"/>
    </w:r>
  </w:p>
  <w:p w14:paraId="2B1210AC" w14:textId="77777777" w:rsidR="0091780A" w:rsidRDefault="0091780A">
    <w:pPr>
      <w:pStyle w:val="Header"/>
    </w:pPr>
  </w:p>
  <w:p w14:paraId="6F1655DF" w14:textId="77777777" w:rsidR="00A076F9" w:rsidRDefault="00A07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922E3"/>
    <w:multiLevelType w:val="hybridMultilevel"/>
    <w:tmpl w:val="44DA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77C04"/>
    <w:multiLevelType w:val="hybridMultilevel"/>
    <w:tmpl w:val="121E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459F7"/>
    <w:multiLevelType w:val="hybridMultilevel"/>
    <w:tmpl w:val="5E30BD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561B1D14"/>
    <w:multiLevelType w:val="hybridMultilevel"/>
    <w:tmpl w:val="9B68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E124A"/>
    <w:multiLevelType w:val="multilevel"/>
    <w:tmpl w:val="5FF00DB2"/>
    <w:lvl w:ilvl="0">
      <w:start w:val="1"/>
      <w:numFmt w:val="upperRoman"/>
      <w:pStyle w:val="Heading1"/>
      <w:lvlText w:val="%1."/>
      <w:lvlJc w:val="left"/>
      <w:pPr>
        <w:ind w:left="0" w:firstLine="0"/>
      </w:pPr>
    </w:lvl>
    <w:lvl w:ilvl="1">
      <w:start w:val="1"/>
      <w:numFmt w:val="upperLetter"/>
      <w:pStyle w:val="Heading2"/>
      <w:lvlText w:val="%2."/>
      <w:lvlJc w:val="left"/>
      <w:pPr>
        <w:ind w:left="90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3"/>
  </w:num>
  <w:num w:numId="3">
    <w:abstractNumId w:val="1"/>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0F"/>
    <w:rsid w:val="0001232B"/>
    <w:rsid w:val="00034F89"/>
    <w:rsid w:val="00037DE5"/>
    <w:rsid w:val="0004150A"/>
    <w:rsid w:val="00043BB9"/>
    <w:rsid w:val="00045267"/>
    <w:rsid w:val="0005212C"/>
    <w:rsid w:val="00060B0F"/>
    <w:rsid w:val="000C16AB"/>
    <w:rsid w:val="000C271A"/>
    <w:rsid w:val="000C56EB"/>
    <w:rsid w:val="00125683"/>
    <w:rsid w:val="00195F5F"/>
    <w:rsid w:val="001A2BF1"/>
    <w:rsid w:val="001D18E5"/>
    <w:rsid w:val="00204DD6"/>
    <w:rsid w:val="00225818"/>
    <w:rsid w:val="002320D3"/>
    <w:rsid w:val="00236DDD"/>
    <w:rsid w:val="00247E22"/>
    <w:rsid w:val="00260D7F"/>
    <w:rsid w:val="00267612"/>
    <w:rsid w:val="002738FC"/>
    <w:rsid w:val="00284A04"/>
    <w:rsid w:val="00286F97"/>
    <w:rsid w:val="002A027E"/>
    <w:rsid w:val="002D20E6"/>
    <w:rsid w:val="002E2207"/>
    <w:rsid w:val="002E7A83"/>
    <w:rsid w:val="002F5164"/>
    <w:rsid w:val="00302B35"/>
    <w:rsid w:val="003C7D93"/>
    <w:rsid w:val="003D3E62"/>
    <w:rsid w:val="0040522A"/>
    <w:rsid w:val="00430650"/>
    <w:rsid w:val="00440DD9"/>
    <w:rsid w:val="004B6D48"/>
    <w:rsid w:val="004C53DF"/>
    <w:rsid w:val="004D44CD"/>
    <w:rsid w:val="004E6D0F"/>
    <w:rsid w:val="004F22F3"/>
    <w:rsid w:val="004F64D6"/>
    <w:rsid w:val="004F6793"/>
    <w:rsid w:val="00511067"/>
    <w:rsid w:val="005135EC"/>
    <w:rsid w:val="00533B98"/>
    <w:rsid w:val="005423C3"/>
    <w:rsid w:val="00544B5E"/>
    <w:rsid w:val="00552C7A"/>
    <w:rsid w:val="00593B0B"/>
    <w:rsid w:val="005B472B"/>
    <w:rsid w:val="005C071C"/>
    <w:rsid w:val="005C148F"/>
    <w:rsid w:val="005C581D"/>
    <w:rsid w:val="005F08FC"/>
    <w:rsid w:val="00614BF5"/>
    <w:rsid w:val="00627194"/>
    <w:rsid w:val="00632837"/>
    <w:rsid w:val="00661DAA"/>
    <w:rsid w:val="00690EF2"/>
    <w:rsid w:val="00696367"/>
    <w:rsid w:val="006A5F87"/>
    <w:rsid w:val="006B0A69"/>
    <w:rsid w:val="006B7FCA"/>
    <w:rsid w:val="006D232B"/>
    <w:rsid w:val="006E2CA6"/>
    <w:rsid w:val="006E3690"/>
    <w:rsid w:val="00732654"/>
    <w:rsid w:val="0078446A"/>
    <w:rsid w:val="00797A45"/>
    <w:rsid w:val="007B1E6F"/>
    <w:rsid w:val="007C5FF8"/>
    <w:rsid w:val="007E3170"/>
    <w:rsid w:val="007F5E30"/>
    <w:rsid w:val="008042FD"/>
    <w:rsid w:val="00815407"/>
    <w:rsid w:val="00830E5C"/>
    <w:rsid w:val="008A4174"/>
    <w:rsid w:val="008A6B32"/>
    <w:rsid w:val="008B4FFE"/>
    <w:rsid w:val="008D05E1"/>
    <w:rsid w:val="00900D05"/>
    <w:rsid w:val="0091780A"/>
    <w:rsid w:val="009259D2"/>
    <w:rsid w:val="00930026"/>
    <w:rsid w:val="00955848"/>
    <w:rsid w:val="00964BA8"/>
    <w:rsid w:val="0097685D"/>
    <w:rsid w:val="009862F0"/>
    <w:rsid w:val="009A6561"/>
    <w:rsid w:val="009B280F"/>
    <w:rsid w:val="009D2601"/>
    <w:rsid w:val="009E2C7B"/>
    <w:rsid w:val="009E62F1"/>
    <w:rsid w:val="00A039A6"/>
    <w:rsid w:val="00A076F9"/>
    <w:rsid w:val="00A07D5B"/>
    <w:rsid w:val="00A16257"/>
    <w:rsid w:val="00A263DA"/>
    <w:rsid w:val="00A26AA4"/>
    <w:rsid w:val="00A27A39"/>
    <w:rsid w:val="00A323E9"/>
    <w:rsid w:val="00A46DD9"/>
    <w:rsid w:val="00AA35A6"/>
    <w:rsid w:val="00AA541D"/>
    <w:rsid w:val="00AC751A"/>
    <w:rsid w:val="00AF5A29"/>
    <w:rsid w:val="00AF6B80"/>
    <w:rsid w:val="00B14142"/>
    <w:rsid w:val="00B20AE1"/>
    <w:rsid w:val="00B6312A"/>
    <w:rsid w:val="00B978DE"/>
    <w:rsid w:val="00BB2BA7"/>
    <w:rsid w:val="00BC01D4"/>
    <w:rsid w:val="00BC1593"/>
    <w:rsid w:val="00BE5F59"/>
    <w:rsid w:val="00BE725E"/>
    <w:rsid w:val="00C17A4C"/>
    <w:rsid w:val="00C90775"/>
    <w:rsid w:val="00CB720B"/>
    <w:rsid w:val="00D356E2"/>
    <w:rsid w:val="00D677BA"/>
    <w:rsid w:val="00D73D3D"/>
    <w:rsid w:val="00D84396"/>
    <w:rsid w:val="00DA6D4D"/>
    <w:rsid w:val="00DB0709"/>
    <w:rsid w:val="00DB5F6F"/>
    <w:rsid w:val="00DB672A"/>
    <w:rsid w:val="00DD52AE"/>
    <w:rsid w:val="00DE21F5"/>
    <w:rsid w:val="00DF662A"/>
    <w:rsid w:val="00E241FC"/>
    <w:rsid w:val="00E4191C"/>
    <w:rsid w:val="00E449CB"/>
    <w:rsid w:val="00E47D80"/>
    <w:rsid w:val="00E5379B"/>
    <w:rsid w:val="00E809D7"/>
    <w:rsid w:val="00E90557"/>
    <w:rsid w:val="00EC79A6"/>
    <w:rsid w:val="00EE0B03"/>
    <w:rsid w:val="00F160FE"/>
    <w:rsid w:val="00F22E21"/>
    <w:rsid w:val="00F309DE"/>
    <w:rsid w:val="00F66FE9"/>
    <w:rsid w:val="00FB2AC4"/>
    <w:rsid w:val="00FC4124"/>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105AD"/>
  <w15:chartTrackingRefBased/>
  <w15:docId w15:val="{A357772F-E323-49B6-9DE6-E47562D6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2AE"/>
    <w:pPr>
      <w:keepNext/>
      <w:keepLines/>
      <w:numPr>
        <w:numId w:val="5"/>
      </w:numPr>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autoRedefine/>
    <w:uiPriority w:val="9"/>
    <w:unhideWhenUsed/>
    <w:qFormat/>
    <w:rsid w:val="005135EC"/>
    <w:pPr>
      <w:keepNext/>
      <w:keepLines/>
      <w:numPr>
        <w:ilvl w:val="1"/>
        <w:numId w:val="5"/>
      </w:numPr>
      <w:spacing w:before="40" w:after="240" w:line="240" w:lineRule="auto"/>
      <w:ind w:left="720"/>
      <w:outlineLvl w:val="1"/>
    </w:pPr>
    <w:rPr>
      <w:rFonts w:eastAsiaTheme="majorEastAsia" w:cstheme="minorHAnsi"/>
      <w:i/>
    </w:rPr>
  </w:style>
  <w:style w:type="paragraph" w:styleId="Heading3">
    <w:name w:val="heading 3"/>
    <w:basedOn w:val="Normal"/>
    <w:next w:val="Normal"/>
    <w:link w:val="Heading3Char"/>
    <w:uiPriority w:val="9"/>
    <w:semiHidden/>
    <w:unhideWhenUsed/>
    <w:qFormat/>
    <w:rsid w:val="00DD52AE"/>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D52AE"/>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D52AE"/>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D52AE"/>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D52AE"/>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D52A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52A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0F"/>
    <w:rPr>
      <w:rFonts w:ascii="Segoe UI" w:hAnsi="Segoe UI" w:cs="Segoe UI"/>
      <w:sz w:val="18"/>
      <w:szCs w:val="18"/>
    </w:rPr>
  </w:style>
  <w:style w:type="paragraph" w:styleId="ListParagraph">
    <w:name w:val="List Paragraph"/>
    <w:basedOn w:val="Normal"/>
    <w:uiPriority w:val="34"/>
    <w:qFormat/>
    <w:rsid w:val="002A027E"/>
    <w:pPr>
      <w:ind w:left="720"/>
      <w:contextualSpacing/>
    </w:pPr>
  </w:style>
  <w:style w:type="character" w:styleId="CommentReference">
    <w:name w:val="annotation reference"/>
    <w:basedOn w:val="DefaultParagraphFont"/>
    <w:uiPriority w:val="99"/>
    <w:semiHidden/>
    <w:unhideWhenUsed/>
    <w:rsid w:val="00E449CB"/>
    <w:rPr>
      <w:sz w:val="16"/>
      <w:szCs w:val="16"/>
    </w:rPr>
  </w:style>
  <w:style w:type="paragraph" w:styleId="CommentText">
    <w:name w:val="annotation text"/>
    <w:basedOn w:val="Normal"/>
    <w:link w:val="CommentTextChar"/>
    <w:uiPriority w:val="99"/>
    <w:semiHidden/>
    <w:unhideWhenUsed/>
    <w:rsid w:val="00E449CB"/>
    <w:pPr>
      <w:spacing w:line="240" w:lineRule="auto"/>
    </w:pPr>
    <w:rPr>
      <w:sz w:val="20"/>
      <w:szCs w:val="20"/>
    </w:rPr>
  </w:style>
  <w:style w:type="character" w:customStyle="1" w:styleId="CommentTextChar">
    <w:name w:val="Comment Text Char"/>
    <w:basedOn w:val="DefaultParagraphFont"/>
    <w:link w:val="CommentText"/>
    <w:uiPriority w:val="99"/>
    <w:semiHidden/>
    <w:rsid w:val="00E449CB"/>
    <w:rPr>
      <w:sz w:val="20"/>
      <w:szCs w:val="20"/>
    </w:rPr>
  </w:style>
  <w:style w:type="paragraph" w:styleId="CommentSubject">
    <w:name w:val="annotation subject"/>
    <w:basedOn w:val="CommentText"/>
    <w:next w:val="CommentText"/>
    <w:link w:val="CommentSubjectChar"/>
    <w:uiPriority w:val="99"/>
    <w:semiHidden/>
    <w:unhideWhenUsed/>
    <w:rsid w:val="00E449CB"/>
    <w:rPr>
      <w:b/>
      <w:bCs/>
    </w:rPr>
  </w:style>
  <w:style w:type="character" w:customStyle="1" w:styleId="CommentSubjectChar">
    <w:name w:val="Comment Subject Char"/>
    <w:basedOn w:val="CommentTextChar"/>
    <w:link w:val="CommentSubject"/>
    <w:uiPriority w:val="99"/>
    <w:semiHidden/>
    <w:rsid w:val="00E449CB"/>
    <w:rPr>
      <w:b/>
      <w:bCs/>
      <w:sz w:val="20"/>
      <w:szCs w:val="20"/>
    </w:rPr>
  </w:style>
  <w:style w:type="paragraph" w:styleId="FootnoteText">
    <w:name w:val="footnote text"/>
    <w:basedOn w:val="Normal"/>
    <w:link w:val="FootnoteTextChar"/>
    <w:uiPriority w:val="99"/>
    <w:unhideWhenUsed/>
    <w:rsid w:val="00267612"/>
    <w:pPr>
      <w:spacing w:after="0" w:line="240" w:lineRule="auto"/>
    </w:pPr>
    <w:rPr>
      <w:sz w:val="20"/>
      <w:szCs w:val="20"/>
    </w:rPr>
  </w:style>
  <w:style w:type="character" w:customStyle="1" w:styleId="FootnoteTextChar">
    <w:name w:val="Footnote Text Char"/>
    <w:basedOn w:val="DefaultParagraphFont"/>
    <w:link w:val="FootnoteText"/>
    <w:uiPriority w:val="99"/>
    <w:rsid w:val="00267612"/>
    <w:rPr>
      <w:sz w:val="20"/>
      <w:szCs w:val="20"/>
    </w:rPr>
  </w:style>
  <w:style w:type="character" w:styleId="FootnoteReference">
    <w:name w:val="footnote reference"/>
    <w:basedOn w:val="DefaultParagraphFont"/>
    <w:uiPriority w:val="99"/>
    <w:semiHidden/>
    <w:unhideWhenUsed/>
    <w:rsid w:val="00267612"/>
    <w:rPr>
      <w:vertAlign w:val="superscript"/>
    </w:rPr>
  </w:style>
  <w:style w:type="paragraph" w:styleId="Header">
    <w:name w:val="header"/>
    <w:basedOn w:val="Normal"/>
    <w:link w:val="HeaderChar"/>
    <w:uiPriority w:val="99"/>
    <w:unhideWhenUsed/>
    <w:rsid w:val="00A07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F9"/>
  </w:style>
  <w:style w:type="paragraph" w:styleId="Footer">
    <w:name w:val="footer"/>
    <w:basedOn w:val="Normal"/>
    <w:link w:val="FooterChar"/>
    <w:uiPriority w:val="99"/>
    <w:unhideWhenUsed/>
    <w:rsid w:val="00A07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F9"/>
  </w:style>
  <w:style w:type="character" w:customStyle="1" w:styleId="Heading1Char">
    <w:name w:val="Heading 1 Char"/>
    <w:basedOn w:val="DefaultParagraphFont"/>
    <w:link w:val="Heading1"/>
    <w:uiPriority w:val="9"/>
    <w:rsid w:val="00DD52AE"/>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5135EC"/>
    <w:rPr>
      <w:rFonts w:eastAsiaTheme="majorEastAsia" w:cstheme="minorHAnsi"/>
      <w:i/>
    </w:rPr>
  </w:style>
  <w:style w:type="character" w:customStyle="1" w:styleId="Heading3Char">
    <w:name w:val="Heading 3 Char"/>
    <w:basedOn w:val="DefaultParagraphFont"/>
    <w:link w:val="Heading3"/>
    <w:uiPriority w:val="9"/>
    <w:semiHidden/>
    <w:rsid w:val="00DD52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D52A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D52A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D52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D52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D52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52A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25346">
      <w:bodyDiv w:val="1"/>
      <w:marLeft w:val="0"/>
      <w:marRight w:val="0"/>
      <w:marTop w:val="0"/>
      <w:marBottom w:val="0"/>
      <w:divBdr>
        <w:top w:val="none" w:sz="0" w:space="0" w:color="auto"/>
        <w:left w:val="none" w:sz="0" w:space="0" w:color="auto"/>
        <w:bottom w:val="none" w:sz="0" w:space="0" w:color="auto"/>
        <w:right w:val="none" w:sz="0" w:space="0" w:color="auto"/>
      </w:divBdr>
      <w:divsChild>
        <w:div w:id="782185827">
          <w:marLeft w:val="0"/>
          <w:marRight w:val="0"/>
          <w:marTop w:val="0"/>
          <w:marBottom w:val="0"/>
          <w:divBdr>
            <w:top w:val="none" w:sz="0" w:space="0" w:color="auto"/>
            <w:left w:val="none" w:sz="0" w:space="0" w:color="auto"/>
            <w:bottom w:val="none" w:sz="0" w:space="0" w:color="auto"/>
            <w:right w:val="none" w:sz="0" w:space="0" w:color="auto"/>
          </w:divBdr>
        </w:div>
        <w:div w:id="943852970">
          <w:marLeft w:val="0"/>
          <w:marRight w:val="0"/>
          <w:marTop w:val="240"/>
          <w:marBottom w:val="0"/>
          <w:divBdr>
            <w:top w:val="none" w:sz="0" w:space="0" w:color="auto"/>
            <w:left w:val="none" w:sz="0" w:space="0" w:color="auto"/>
            <w:bottom w:val="none" w:sz="0" w:space="0" w:color="auto"/>
            <w:right w:val="none" w:sz="0" w:space="0" w:color="auto"/>
          </w:divBdr>
          <w:divsChild>
            <w:div w:id="757288250">
              <w:marLeft w:val="0"/>
              <w:marRight w:val="0"/>
              <w:marTop w:val="0"/>
              <w:marBottom w:val="0"/>
              <w:divBdr>
                <w:top w:val="none" w:sz="0" w:space="0" w:color="auto"/>
                <w:left w:val="none" w:sz="0" w:space="0" w:color="auto"/>
                <w:bottom w:val="none" w:sz="0" w:space="0" w:color="auto"/>
                <w:right w:val="none" w:sz="0" w:space="0" w:color="auto"/>
              </w:divBdr>
              <w:divsChild>
                <w:div w:id="5396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66E0-5DE7-4DCD-AA6C-BD7C2F52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Parker</dc:creator>
  <cp:keywords/>
  <dc:description/>
  <cp:lastModifiedBy>Kevin Mosier</cp:lastModifiedBy>
  <cp:revision>2</cp:revision>
  <dcterms:created xsi:type="dcterms:W3CDTF">2020-10-16T15:27:00Z</dcterms:created>
  <dcterms:modified xsi:type="dcterms:W3CDTF">2020-10-16T15:27:00Z</dcterms:modified>
</cp:coreProperties>
</file>